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0519C" w14:textId="5EA14D1C" w:rsidR="007F0F34" w:rsidRPr="002143FE" w:rsidRDefault="00C15A7A" w:rsidP="007F0F34">
      <w:pPr>
        <w:spacing w:before="120" w:after="120"/>
        <w:jc w:val="right"/>
        <w:rPr>
          <w:rFonts w:asciiTheme="minorHAnsi" w:hAnsiTheme="minorHAnsi" w:cstheme="minorHAnsi"/>
          <w:sz w:val="20"/>
        </w:rPr>
      </w:pPr>
      <w:bookmarkStart w:id="0" w:name="_GoBack"/>
      <w:bookmarkEnd w:id="0"/>
      <w:r w:rsidRPr="00603AD9">
        <w:rPr>
          <w:sz w:val="20"/>
          <w:szCs w:val="20"/>
        </w:rPr>
        <w:tab/>
      </w:r>
      <w:r w:rsidRPr="00A259D5">
        <w:rPr>
          <w:rFonts w:asciiTheme="minorHAnsi" w:hAnsiTheme="minorHAnsi" w:cstheme="minorHAnsi"/>
          <w:sz w:val="18"/>
          <w:szCs w:val="18"/>
        </w:rPr>
        <w:tab/>
      </w:r>
      <w:r w:rsidR="007F0F34" w:rsidRPr="002143FE">
        <w:rPr>
          <w:rFonts w:asciiTheme="minorHAnsi" w:hAnsiTheme="minorHAnsi" w:cstheme="minorHAnsi"/>
          <w:sz w:val="20"/>
        </w:rPr>
        <w:t xml:space="preserve">Príloha č. </w:t>
      </w:r>
      <w:r w:rsidR="007F0F34">
        <w:rPr>
          <w:rFonts w:asciiTheme="minorHAnsi" w:hAnsiTheme="minorHAnsi" w:cstheme="minorHAnsi"/>
          <w:sz w:val="20"/>
        </w:rPr>
        <w:t>2</w:t>
      </w:r>
      <w:r w:rsidR="007F0F34" w:rsidRPr="002143FE">
        <w:rPr>
          <w:rFonts w:asciiTheme="minorHAnsi" w:hAnsiTheme="minorHAnsi" w:cstheme="minorHAnsi"/>
          <w:sz w:val="20"/>
        </w:rPr>
        <w:t xml:space="preserve"> vyzvania </w:t>
      </w:r>
      <w:r w:rsidR="007F0F34" w:rsidRPr="002143FE">
        <w:rPr>
          <w:rFonts w:asciiTheme="minorHAnsi" w:hAnsiTheme="minorHAnsi"/>
          <w:sz w:val="20"/>
          <w:szCs w:val="20"/>
        </w:rPr>
        <w:t>č. OPLZ-PO7-</w:t>
      </w:r>
      <w:r w:rsidR="000B493A" w:rsidRPr="000B493A">
        <w:rPr>
          <w:rFonts w:asciiTheme="minorHAnsi" w:hAnsiTheme="minorHAnsi"/>
          <w:sz w:val="20"/>
          <w:szCs w:val="20"/>
        </w:rPr>
        <w:t>SC7172-</w:t>
      </w:r>
      <w:r w:rsidR="007F0F34" w:rsidRPr="002143FE">
        <w:rPr>
          <w:rFonts w:asciiTheme="minorHAnsi" w:hAnsiTheme="minorHAnsi"/>
          <w:sz w:val="20"/>
          <w:szCs w:val="20"/>
        </w:rPr>
        <w:t>201</w:t>
      </w:r>
      <w:r w:rsidR="007F0F34">
        <w:rPr>
          <w:rFonts w:asciiTheme="minorHAnsi" w:hAnsiTheme="minorHAnsi"/>
          <w:sz w:val="20"/>
          <w:szCs w:val="20"/>
        </w:rPr>
        <w:t>7</w:t>
      </w:r>
      <w:r w:rsidR="007F0F34" w:rsidRPr="002143FE">
        <w:rPr>
          <w:rFonts w:asciiTheme="minorHAnsi" w:hAnsiTheme="minorHAnsi"/>
          <w:sz w:val="20"/>
          <w:szCs w:val="20"/>
        </w:rPr>
        <w:t>-</w:t>
      </w:r>
      <w:r w:rsidR="007F0F34">
        <w:rPr>
          <w:rFonts w:asciiTheme="minorHAnsi" w:hAnsiTheme="minorHAnsi"/>
          <w:sz w:val="20"/>
          <w:szCs w:val="20"/>
        </w:rPr>
        <w:t>1</w:t>
      </w:r>
    </w:p>
    <w:p w14:paraId="267751C4" w14:textId="3C14CF6E" w:rsidR="004A1322" w:rsidRDefault="000D17DB" w:rsidP="006E01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59D5">
        <w:rPr>
          <w:rFonts w:asciiTheme="minorHAnsi" w:hAnsiTheme="minorHAnsi" w:cstheme="minorHAnsi"/>
          <w:b/>
          <w:sz w:val="22"/>
          <w:szCs w:val="22"/>
        </w:rPr>
        <w:t>Zoznam povinných merateľných ukazovateľov</w:t>
      </w:r>
      <w:r w:rsidR="00373E95">
        <w:rPr>
          <w:rStyle w:val="Odkaznapoznmkupodiarou"/>
          <w:rFonts w:asciiTheme="minorHAnsi" w:hAnsiTheme="minorHAnsi"/>
          <w:b/>
          <w:sz w:val="22"/>
          <w:szCs w:val="22"/>
        </w:rPr>
        <w:footnoteReference w:id="1"/>
      </w:r>
      <w:r w:rsidRPr="00A259D5">
        <w:rPr>
          <w:rFonts w:asciiTheme="minorHAnsi" w:hAnsiTheme="minorHAnsi" w:cstheme="minorHAnsi"/>
          <w:b/>
          <w:sz w:val="22"/>
          <w:szCs w:val="22"/>
        </w:rPr>
        <w:t>, vrátane zadefinovanej relevancie k horizontálnym princípom</w:t>
      </w:r>
    </w:p>
    <w:p w14:paraId="05667A58" w14:textId="77777777" w:rsidR="006E014A" w:rsidRPr="006E014A" w:rsidRDefault="006E014A" w:rsidP="006E014A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099B4E77" w14:textId="77777777" w:rsidR="007F0F34" w:rsidRDefault="007F0F34" w:rsidP="007A5628">
      <w:pPr>
        <w:pStyle w:val="Hlavika"/>
        <w:jc w:val="both"/>
        <w:rPr>
          <w:rFonts w:asciiTheme="minorHAnsi" w:hAnsiTheme="minorHAnsi" w:cstheme="minorHAnsi"/>
          <w:b/>
          <w:sz w:val="20"/>
          <w:szCs w:val="22"/>
        </w:rPr>
      </w:pPr>
    </w:p>
    <w:p w14:paraId="0BFC58C0" w14:textId="42752EC3" w:rsidR="00774EED" w:rsidRDefault="00774EED" w:rsidP="007A5628">
      <w:pPr>
        <w:pStyle w:val="Hlavika"/>
        <w:jc w:val="both"/>
        <w:rPr>
          <w:rFonts w:asciiTheme="minorHAnsi" w:hAnsiTheme="minorHAnsi" w:cstheme="minorHAnsi"/>
          <w:b/>
          <w:sz w:val="20"/>
          <w:szCs w:val="22"/>
        </w:rPr>
      </w:pPr>
      <w:r w:rsidRPr="007F0F34">
        <w:rPr>
          <w:rFonts w:asciiTheme="minorHAnsi" w:hAnsiTheme="minorHAnsi" w:cstheme="minorHAnsi"/>
          <w:b/>
          <w:sz w:val="20"/>
          <w:szCs w:val="22"/>
        </w:rPr>
        <w:t xml:space="preserve">Typ aktivity </w:t>
      </w:r>
      <w:r w:rsidR="00BA2E8C" w:rsidRPr="007F0F34">
        <w:rPr>
          <w:rFonts w:asciiTheme="minorHAnsi" w:hAnsiTheme="minorHAnsi" w:cstheme="minorHAnsi"/>
          <w:b/>
          <w:sz w:val="20"/>
          <w:szCs w:val="22"/>
        </w:rPr>
        <w:t>pre projekt 1</w:t>
      </w:r>
      <w:r w:rsidR="00E93BD6" w:rsidRPr="007F0F34">
        <w:rPr>
          <w:rFonts w:asciiTheme="minorHAnsi" w:hAnsiTheme="minorHAnsi" w:cstheme="minorHAnsi"/>
          <w:b/>
          <w:sz w:val="20"/>
          <w:szCs w:val="22"/>
        </w:rPr>
        <w:t xml:space="preserve"> </w:t>
      </w:r>
      <w:r w:rsidR="00A865C8" w:rsidRPr="007F0F34">
        <w:rPr>
          <w:rFonts w:asciiTheme="minorHAnsi" w:hAnsiTheme="minorHAnsi" w:cstheme="minorHAnsi"/>
          <w:b/>
          <w:sz w:val="20"/>
          <w:szCs w:val="22"/>
        </w:rPr>
        <w:t>–</w:t>
      </w:r>
      <w:r w:rsidRPr="007F0F34">
        <w:rPr>
          <w:rFonts w:asciiTheme="minorHAnsi" w:hAnsiTheme="minorHAnsi" w:cstheme="minorHAnsi"/>
          <w:b/>
          <w:sz w:val="20"/>
          <w:szCs w:val="22"/>
        </w:rPr>
        <w:t xml:space="preserve"> </w:t>
      </w:r>
      <w:r w:rsidR="007A5628" w:rsidRPr="007F0F34">
        <w:rPr>
          <w:rFonts w:asciiTheme="minorHAnsi" w:hAnsiTheme="minorHAnsi" w:cstheme="minorHAnsi"/>
          <w:b/>
          <w:sz w:val="20"/>
          <w:szCs w:val="22"/>
        </w:rPr>
        <w:t>Technické vybavenie – zabezpečenie administratívneho a materiálno-technického vybavenia pre kvalitný výkon agendy súvisiacej s implementáciou OP ĽZ a personálna oblasť – zabezpečenie kvalifikovaného výkonu agendy súvisiacej s implementáciou OP ĽZ prostredníctvom primeraného interného a externého vzdelávania oprávnených zamestnancov.</w:t>
      </w:r>
    </w:p>
    <w:p w14:paraId="72A73B2A" w14:textId="77777777" w:rsidR="007F0F34" w:rsidRPr="007F0F34" w:rsidRDefault="007F0F34" w:rsidP="007A5628">
      <w:pPr>
        <w:pStyle w:val="Hlavika"/>
        <w:jc w:val="both"/>
        <w:rPr>
          <w:rFonts w:asciiTheme="minorHAnsi" w:hAnsiTheme="minorHAnsi" w:cstheme="minorHAnsi"/>
          <w:b/>
          <w:sz w:val="20"/>
          <w:szCs w:val="22"/>
        </w:rPr>
      </w:pPr>
    </w:p>
    <w:tbl>
      <w:tblPr>
        <w:tblStyle w:val="Mriekatabuky"/>
        <w:tblW w:w="138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2977"/>
        <w:gridCol w:w="4252"/>
        <w:gridCol w:w="993"/>
        <w:gridCol w:w="1701"/>
        <w:gridCol w:w="825"/>
        <w:gridCol w:w="26"/>
        <w:gridCol w:w="709"/>
      </w:tblGrid>
      <w:tr w:rsidR="00774EED" w:rsidRPr="00774EED" w14:paraId="7DCC2FCC" w14:textId="77777777" w:rsidTr="007F0F34">
        <w:trPr>
          <w:trHeight w:val="340"/>
        </w:trPr>
        <w:tc>
          <w:tcPr>
            <w:tcW w:w="2410" w:type="dxa"/>
            <w:vMerge w:val="restart"/>
            <w:shd w:val="clear" w:color="auto" w:fill="F89C57"/>
            <w:vAlign w:val="center"/>
          </w:tcPr>
          <w:p w14:paraId="6AE57CFD" w14:textId="471D1646" w:rsidR="00774EED" w:rsidRPr="00774EED" w:rsidRDefault="00BA2E8C" w:rsidP="002D32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2E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Hlavná aktivita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pre projekt 1</w:t>
            </w:r>
          </w:p>
        </w:tc>
        <w:tc>
          <w:tcPr>
            <w:tcW w:w="2977" w:type="dxa"/>
            <w:vMerge w:val="restart"/>
            <w:shd w:val="clear" w:color="auto" w:fill="F89C57"/>
            <w:vAlign w:val="center"/>
          </w:tcPr>
          <w:p w14:paraId="00F8DB71" w14:textId="77777777" w:rsidR="00774EED" w:rsidRPr="00774EED" w:rsidRDefault="00774EED" w:rsidP="002D32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EED">
              <w:rPr>
                <w:rFonts w:asciiTheme="minorHAnsi" w:hAnsiTheme="minorHAnsi" w:cstheme="minorHAnsi"/>
                <w:b/>
                <w:sz w:val="20"/>
                <w:szCs w:val="20"/>
              </w:rPr>
              <w:t>Povinné merateľné ukazovatele</w:t>
            </w:r>
          </w:p>
        </w:tc>
        <w:tc>
          <w:tcPr>
            <w:tcW w:w="4252" w:type="dxa"/>
            <w:vMerge w:val="restart"/>
            <w:shd w:val="clear" w:color="auto" w:fill="F89C57"/>
            <w:vAlign w:val="center"/>
          </w:tcPr>
          <w:p w14:paraId="66073652" w14:textId="2E21B696" w:rsidR="00774EED" w:rsidRPr="00774EED" w:rsidRDefault="00774EED" w:rsidP="002D32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E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Definícia </w:t>
            </w:r>
            <w:r w:rsidR="00502E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 metóda výpočtu </w:t>
            </w:r>
            <w:r w:rsidRPr="00774EED">
              <w:rPr>
                <w:rFonts w:asciiTheme="minorHAnsi" w:hAnsiTheme="minorHAnsi" w:cstheme="minorHAnsi"/>
                <w:b/>
                <w:sz w:val="20"/>
                <w:szCs w:val="20"/>
              </w:rPr>
              <w:t>povinného merateľného ukazovateľa</w:t>
            </w:r>
          </w:p>
        </w:tc>
        <w:tc>
          <w:tcPr>
            <w:tcW w:w="993" w:type="dxa"/>
            <w:vMerge w:val="restart"/>
            <w:shd w:val="clear" w:color="auto" w:fill="F89C57"/>
            <w:vAlign w:val="center"/>
          </w:tcPr>
          <w:p w14:paraId="3DBBD171" w14:textId="77777777" w:rsidR="00774EED" w:rsidRPr="00774EED" w:rsidRDefault="00774EED" w:rsidP="002D32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EED">
              <w:rPr>
                <w:rFonts w:asciiTheme="minorHAnsi" w:hAnsiTheme="minorHAnsi" w:cstheme="minorHAnsi"/>
                <w:b/>
                <w:sz w:val="20"/>
                <w:szCs w:val="20"/>
              </w:rPr>
              <w:t>Merná jednotka</w:t>
            </w:r>
          </w:p>
        </w:tc>
        <w:tc>
          <w:tcPr>
            <w:tcW w:w="1701" w:type="dxa"/>
            <w:vMerge w:val="restart"/>
            <w:shd w:val="clear" w:color="auto" w:fill="F89C57"/>
            <w:vAlign w:val="center"/>
          </w:tcPr>
          <w:p w14:paraId="695E9F56" w14:textId="77777777" w:rsidR="00774EED" w:rsidRPr="00774EED" w:rsidRDefault="00774EED" w:rsidP="002D32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EED">
              <w:rPr>
                <w:rFonts w:asciiTheme="minorHAnsi" w:hAnsiTheme="minorHAnsi" w:cstheme="minorHAnsi"/>
                <w:b/>
                <w:sz w:val="20"/>
                <w:szCs w:val="20"/>
              </w:rPr>
              <w:t>Čas plnenia</w:t>
            </w:r>
          </w:p>
        </w:tc>
        <w:tc>
          <w:tcPr>
            <w:tcW w:w="1560" w:type="dxa"/>
            <w:gridSpan w:val="3"/>
            <w:shd w:val="clear" w:color="auto" w:fill="F89C57"/>
            <w:vAlign w:val="center"/>
          </w:tcPr>
          <w:p w14:paraId="6E13846D" w14:textId="77777777" w:rsidR="00774EED" w:rsidRPr="00774EED" w:rsidRDefault="00774EED" w:rsidP="002D32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EED">
              <w:rPr>
                <w:rFonts w:asciiTheme="minorHAnsi" w:hAnsiTheme="minorHAnsi" w:cstheme="minorHAnsi"/>
                <w:b/>
                <w:sz w:val="20"/>
                <w:szCs w:val="20"/>
              </w:rPr>
              <w:t>Relevancia k HP</w:t>
            </w:r>
          </w:p>
        </w:tc>
      </w:tr>
      <w:tr w:rsidR="00774EED" w:rsidRPr="00774EED" w14:paraId="5A3B4A87" w14:textId="77777777" w:rsidTr="007F0F34">
        <w:trPr>
          <w:trHeight w:val="339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89C57"/>
            <w:vAlign w:val="center"/>
          </w:tcPr>
          <w:p w14:paraId="1D529C06" w14:textId="77777777" w:rsidR="00774EED" w:rsidRPr="00774EED" w:rsidRDefault="00774EED" w:rsidP="002D32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89C57"/>
          </w:tcPr>
          <w:p w14:paraId="05384FD9" w14:textId="77777777" w:rsidR="00774EED" w:rsidRPr="00774EED" w:rsidRDefault="00774EED" w:rsidP="002D32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  <w:shd w:val="clear" w:color="auto" w:fill="F89C57"/>
            <w:vAlign w:val="center"/>
          </w:tcPr>
          <w:p w14:paraId="5C5BFE1D" w14:textId="77777777" w:rsidR="00774EED" w:rsidRPr="00774EED" w:rsidRDefault="00774EED" w:rsidP="002D32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89C57"/>
          </w:tcPr>
          <w:p w14:paraId="503086E9" w14:textId="77777777" w:rsidR="00774EED" w:rsidRPr="00774EED" w:rsidRDefault="00774EED" w:rsidP="002D32DC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89C57"/>
            <w:vAlign w:val="center"/>
          </w:tcPr>
          <w:p w14:paraId="70B47374" w14:textId="77777777" w:rsidR="00774EED" w:rsidRPr="00774EED" w:rsidRDefault="00774EED" w:rsidP="002D32DC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89C57"/>
            <w:vAlign w:val="center"/>
          </w:tcPr>
          <w:p w14:paraId="55BE2F09" w14:textId="77777777" w:rsidR="00774EED" w:rsidRPr="00774EED" w:rsidRDefault="00774EED" w:rsidP="002D32DC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74EE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HP UR</w:t>
            </w:r>
          </w:p>
        </w:tc>
        <w:tc>
          <w:tcPr>
            <w:tcW w:w="735" w:type="dxa"/>
            <w:gridSpan w:val="2"/>
            <w:shd w:val="clear" w:color="auto" w:fill="F89C57"/>
            <w:vAlign w:val="center"/>
          </w:tcPr>
          <w:p w14:paraId="7C1F5CE2" w14:textId="5C4474BE" w:rsidR="00774EED" w:rsidRPr="00774EED" w:rsidRDefault="00774EED" w:rsidP="009A24F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74EE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HP R</w:t>
            </w:r>
            <w:r w:rsidR="009A24F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M</w:t>
            </w:r>
            <w:r w:rsidRPr="00774EE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Ž a ND</w:t>
            </w:r>
          </w:p>
        </w:tc>
      </w:tr>
      <w:tr w:rsidR="00B77B85" w:rsidRPr="00774EED" w14:paraId="1D8A7C1C" w14:textId="77777777" w:rsidTr="007F0F34">
        <w:trPr>
          <w:trHeight w:val="909"/>
        </w:trPr>
        <w:tc>
          <w:tcPr>
            <w:tcW w:w="2410" w:type="dxa"/>
            <w:vMerge w:val="restart"/>
            <w:shd w:val="clear" w:color="auto" w:fill="F89C57"/>
            <w:vAlign w:val="center"/>
          </w:tcPr>
          <w:p w14:paraId="381E6384" w14:textId="0A87C977" w:rsidR="00B77B85" w:rsidRPr="007A5628" w:rsidRDefault="00B77B85" w:rsidP="007A56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5628">
              <w:rPr>
                <w:rFonts w:asciiTheme="minorHAnsi" w:hAnsiTheme="minorHAnsi" w:cs="Arial"/>
                <w:b/>
                <w:sz w:val="20"/>
                <w:szCs w:val="20"/>
              </w:rPr>
              <w:t>Zaistenie kvalitného a kvalifikovaného výkonu agendy súvisiacej s implementáciou OP ĽZ prostredníctvom zabezpečenia administratívneho a materiálno-technického vybavenia a interného a externého vzdelávania oprávnených zamestnancov</w:t>
            </w:r>
          </w:p>
        </w:tc>
        <w:tc>
          <w:tcPr>
            <w:tcW w:w="2977" w:type="dxa"/>
            <w:vAlign w:val="center"/>
          </w:tcPr>
          <w:p w14:paraId="00DC80E5" w14:textId="446B424A" w:rsidR="00B77B85" w:rsidRPr="00402264" w:rsidRDefault="00B77B85" w:rsidP="00F84A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5B16">
              <w:rPr>
                <w:rFonts w:asciiTheme="minorHAnsi" w:hAnsiTheme="minorHAnsi" w:cstheme="minorHAnsi"/>
                <w:sz w:val="20"/>
                <w:szCs w:val="20"/>
              </w:rPr>
              <w:t>P0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132</w:t>
            </w:r>
            <w:r w:rsidRPr="00CB5B16">
              <w:rPr>
                <w:rFonts w:asciiTheme="minorHAnsi" w:hAnsiTheme="minorHAnsi" w:cstheme="minorHAnsi"/>
                <w:sz w:val="20"/>
                <w:szCs w:val="20"/>
              </w:rPr>
              <w:t xml:space="preserve"> - Počet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AK vybavených materiálno – technickým vybavením</w:t>
            </w:r>
          </w:p>
        </w:tc>
        <w:tc>
          <w:tcPr>
            <w:tcW w:w="4252" w:type="dxa"/>
            <w:vAlign w:val="center"/>
          </w:tcPr>
          <w:p w14:paraId="6C8D7023" w14:textId="160101F9" w:rsidR="00B77B85" w:rsidRPr="00292F02" w:rsidRDefault="00B77B85" w:rsidP="00FD0F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Priemerná hodnota počtu refundovaných pracovníkov </w:t>
            </w:r>
            <w:r w:rsidRPr="00292F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vybavených materiálno-technickým vybavením z TP v danom roku</w:t>
            </w:r>
            <w:r>
              <w:rPr>
                <w:rStyle w:val="Odkaznapoznmkupodiarou"/>
                <w:rFonts w:ascii="Calibri" w:hAnsi="Calibri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993" w:type="dxa"/>
            <w:vAlign w:val="center"/>
          </w:tcPr>
          <w:p w14:paraId="0913EA63" w14:textId="0F931A1C" w:rsidR="00B77B85" w:rsidRPr="00774EED" w:rsidRDefault="00B77B85" w:rsidP="002D32D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počet</w:t>
            </w:r>
          </w:p>
        </w:tc>
        <w:tc>
          <w:tcPr>
            <w:tcW w:w="1701" w:type="dxa"/>
            <w:vAlign w:val="center"/>
          </w:tcPr>
          <w:p w14:paraId="5C1396FA" w14:textId="0D0DB098" w:rsidR="00B77B85" w:rsidRPr="00774EED" w:rsidRDefault="00B77B85" w:rsidP="002D32D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74EE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 dátumu ukončenia realizácie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aktivity</w:t>
            </w:r>
          </w:p>
        </w:tc>
        <w:tc>
          <w:tcPr>
            <w:tcW w:w="825" w:type="dxa"/>
            <w:vAlign w:val="center"/>
          </w:tcPr>
          <w:p w14:paraId="7693EBCE" w14:textId="50C14138" w:rsidR="00B77B85" w:rsidRPr="00774EED" w:rsidRDefault="00B77B85" w:rsidP="00177C1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nie</w:t>
            </w:r>
          </w:p>
        </w:tc>
        <w:tc>
          <w:tcPr>
            <w:tcW w:w="735" w:type="dxa"/>
            <w:gridSpan w:val="2"/>
            <w:vAlign w:val="center"/>
          </w:tcPr>
          <w:p w14:paraId="23CA28C3" w14:textId="77777777" w:rsidR="00B77B85" w:rsidRPr="00774EED" w:rsidRDefault="00B77B85" w:rsidP="002D32D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74EED">
              <w:rPr>
                <w:rFonts w:asciiTheme="minorHAnsi" w:hAnsiTheme="minorHAnsi" w:cstheme="minorHAnsi"/>
                <w:bCs/>
                <w:sz w:val="20"/>
                <w:szCs w:val="20"/>
              </w:rPr>
              <w:t>áno</w:t>
            </w:r>
          </w:p>
        </w:tc>
      </w:tr>
      <w:tr w:rsidR="00B77B85" w:rsidRPr="00774EED" w14:paraId="29B3D59B" w14:textId="77777777" w:rsidTr="007F0F34">
        <w:trPr>
          <w:trHeight w:val="534"/>
        </w:trPr>
        <w:tc>
          <w:tcPr>
            <w:tcW w:w="2410" w:type="dxa"/>
            <w:vMerge/>
            <w:shd w:val="clear" w:color="auto" w:fill="F89C57"/>
            <w:vAlign w:val="center"/>
          </w:tcPr>
          <w:p w14:paraId="0520F27A" w14:textId="77777777" w:rsidR="00B77B85" w:rsidRPr="00774EED" w:rsidRDefault="00B77B85" w:rsidP="002D32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C02EA37" w14:textId="2DE71EBE" w:rsidR="00B77B85" w:rsidRPr="00774EED" w:rsidRDefault="00B77B85" w:rsidP="00F84A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P0149</w:t>
            </w:r>
            <w:r w:rsidRPr="00774EED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Počet dní školení, ktoré absolvovali zamestnanci RO/SO</w:t>
            </w:r>
          </w:p>
        </w:tc>
        <w:tc>
          <w:tcPr>
            <w:tcW w:w="4252" w:type="dxa"/>
            <w:vAlign w:val="center"/>
          </w:tcPr>
          <w:p w14:paraId="1130FD99" w14:textId="7484EC0E" w:rsidR="00B77B85" w:rsidRPr="00292F02" w:rsidRDefault="00F323A8" w:rsidP="00F323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 w:rsidR="00B77B85" w:rsidRPr="00292F02">
              <w:rPr>
                <w:rFonts w:ascii="Calibri" w:hAnsi="Calibri" w:cs="Calibri"/>
                <w:color w:val="000000"/>
                <w:sz w:val="20"/>
                <w:szCs w:val="20"/>
              </w:rPr>
              <w:t>oč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="00B77B85" w:rsidRPr="00292F02">
              <w:rPr>
                <w:rFonts w:ascii="Calibri" w:hAnsi="Calibri" w:cs="Calibri"/>
                <w:color w:val="000000"/>
                <w:sz w:val="20"/>
                <w:szCs w:val="20"/>
              </w:rPr>
              <w:t>t dní školení, ktoré absolvovali zamestnanci RO/SO v danom kalendárnom roku</w:t>
            </w:r>
            <w:r w:rsidR="00B77B85">
              <w:rPr>
                <w:rStyle w:val="Odkaznapoznmkupodiarou"/>
                <w:rFonts w:ascii="Calibri" w:hAnsi="Calibri"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993" w:type="dxa"/>
            <w:vAlign w:val="center"/>
          </w:tcPr>
          <w:p w14:paraId="1F7D948D" w14:textId="2C6A45B5" w:rsidR="00B77B85" w:rsidRPr="00774EED" w:rsidRDefault="00B77B85" w:rsidP="002D32D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počet</w:t>
            </w:r>
          </w:p>
        </w:tc>
        <w:tc>
          <w:tcPr>
            <w:tcW w:w="1701" w:type="dxa"/>
            <w:vAlign w:val="center"/>
          </w:tcPr>
          <w:p w14:paraId="2FB8A104" w14:textId="682BE56F" w:rsidR="00B77B85" w:rsidRPr="00774EED" w:rsidRDefault="00B77B85" w:rsidP="002D32D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74EE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 dátumu ukončenia realizácie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aktivity</w:t>
            </w:r>
          </w:p>
        </w:tc>
        <w:tc>
          <w:tcPr>
            <w:tcW w:w="825" w:type="dxa"/>
            <w:vAlign w:val="center"/>
          </w:tcPr>
          <w:p w14:paraId="5905EE58" w14:textId="240079EB" w:rsidR="00B77B85" w:rsidRPr="00774EED" w:rsidRDefault="00B77B85" w:rsidP="002D32D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nie</w:t>
            </w:r>
          </w:p>
        </w:tc>
        <w:tc>
          <w:tcPr>
            <w:tcW w:w="735" w:type="dxa"/>
            <w:gridSpan w:val="2"/>
            <w:vAlign w:val="center"/>
          </w:tcPr>
          <w:p w14:paraId="53958248" w14:textId="7DAEF1DF" w:rsidR="00B77B85" w:rsidRPr="00774EED" w:rsidRDefault="00B77B85" w:rsidP="00BE46F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nie</w:t>
            </w:r>
          </w:p>
        </w:tc>
      </w:tr>
      <w:tr w:rsidR="00B77B85" w:rsidRPr="00774EED" w14:paraId="002C6BFC" w14:textId="77777777" w:rsidTr="007F0F34">
        <w:trPr>
          <w:trHeight w:val="360"/>
        </w:trPr>
        <w:tc>
          <w:tcPr>
            <w:tcW w:w="2410" w:type="dxa"/>
            <w:vMerge/>
            <w:shd w:val="clear" w:color="auto" w:fill="F89C57"/>
            <w:vAlign w:val="center"/>
          </w:tcPr>
          <w:p w14:paraId="61BB30B6" w14:textId="3452FAFB" w:rsidR="00B77B85" w:rsidRPr="00774EED" w:rsidRDefault="00B77B85" w:rsidP="002D32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5489606" w14:textId="5D32A9C8" w:rsidR="00B77B85" w:rsidRDefault="00B77B85" w:rsidP="007C10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P0543 – Počet zamestnancov RO/SO zapojených do vzdelávacích aktivít</w:t>
            </w:r>
          </w:p>
        </w:tc>
        <w:tc>
          <w:tcPr>
            <w:tcW w:w="4252" w:type="dxa"/>
            <w:vAlign w:val="center"/>
          </w:tcPr>
          <w:p w14:paraId="2CB05134" w14:textId="7188A1C6" w:rsidR="00B77B85" w:rsidRPr="00292F02" w:rsidRDefault="00DC3F9E" w:rsidP="00DC3F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 w:rsidR="00B77B85" w:rsidRPr="00292F02">
              <w:rPr>
                <w:rFonts w:ascii="Calibri" w:hAnsi="Calibri" w:cs="Calibri"/>
                <w:color w:val="000000"/>
                <w:sz w:val="20"/>
                <w:szCs w:val="20"/>
              </w:rPr>
              <w:t>oč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="00B77B85" w:rsidRPr="00292F02">
              <w:rPr>
                <w:rFonts w:ascii="Calibri" w:hAnsi="Calibri" w:cs="Calibri"/>
                <w:color w:val="000000"/>
                <w:sz w:val="20"/>
                <w:szCs w:val="20"/>
              </w:rPr>
              <w:t>t zamestnancov RO/SO, ktorí sa zúčastnili vzdelávacích aktivít v danom roku</w:t>
            </w:r>
            <w:r w:rsidR="00B77B85">
              <w:rPr>
                <w:rStyle w:val="Odkaznapoznmkupodiarou"/>
                <w:rFonts w:ascii="Calibri" w:hAnsi="Calibri"/>
                <w:color w:val="000000"/>
                <w:sz w:val="20"/>
                <w:szCs w:val="20"/>
              </w:rPr>
              <w:footnoteReference w:id="4"/>
            </w:r>
          </w:p>
        </w:tc>
        <w:tc>
          <w:tcPr>
            <w:tcW w:w="993" w:type="dxa"/>
            <w:vAlign w:val="center"/>
          </w:tcPr>
          <w:p w14:paraId="0327F663" w14:textId="040103A1" w:rsidR="00B77B85" w:rsidRDefault="00B77B85" w:rsidP="002D32D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počet</w:t>
            </w:r>
          </w:p>
        </w:tc>
        <w:tc>
          <w:tcPr>
            <w:tcW w:w="1701" w:type="dxa"/>
            <w:vAlign w:val="center"/>
          </w:tcPr>
          <w:p w14:paraId="2F23D3D0" w14:textId="143C0105" w:rsidR="00B77B85" w:rsidRPr="00774EED" w:rsidRDefault="00B77B85" w:rsidP="00D976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9767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 dátumu </w:t>
            </w:r>
            <w:r w:rsidR="00D97675" w:rsidRPr="00D97675">
              <w:rPr>
                <w:rFonts w:asciiTheme="minorHAnsi" w:hAnsiTheme="minorHAnsi" w:cstheme="minorHAnsi"/>
                <w:bCs/>
                <w:sz w:val="20"/>
                <w:szCs w:val="20"/>
              </w:rPr>
              <w:t>ukončenia</w:t>
            </w:r>
            <w:r w:rsidRPr="00D9767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realizácie aktivity</w:t>
            </w:r>
          </w:p>
        </w:tc>
        <w:tc>
          <w:tcPr>
            <w:tcW w:w="851" w:type="dxa"/>
            <w:gridSpan w:val="2"/>
            <w:vAlign w:val="center"/>
          </w:tcPr>
          <w:p w14:paraId="0C818D9D" w14:textId="3B81EACD" w:rsidR="00B77B85" w:rsidRPr="00774EED" w:rsidRDefault="00B77B85" w:rsidP="002D32D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nie</w:t>
            </w:r>
          </w:p>
        </w:tc>
        <w:tc>
          <w:tcPr>
            <w:tcW w:w="709" w:type="dxa"/>
            <w:vAlign w:val="center"/>
          </w:tcPr>
          <w:p w14:paraId="6122693E" w14:textId="2BEE00A1" w:rsidR="00B77B85" w:rsidRDefault="00B77B85" w:rsidP="00BE46F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áno</w:t>
            </w:r>
          </w:p>
        </w:tc>
      </w:tr>
      <w:tr w:rsidR="00B77B85" w:rsidRPr="00774EED" w14:paraId="05733AB8" w14:textId="77777777" w:rsidTr="007F0F34">
        <w:trPr>
          <w:trHeight w:val="881"/>
        </w:trPr>
        <w:tc>
          <w:tcPr>
            <w:tcW w:w="2410" w:type="dxa"/>
            <w:vMerge/>
            <w:shd w:val="clear" w:color="auto" w:fill="F89C57"/>
            <w:vAlign w:val="center"/>
          </w:tcPr>
          <w:p w14:paraId="115B9B87" w14:textId="77777777" w:rsidR="00B77B85" w:rsidRPr="00774EED" w:rsidRDefault="00B77B85" w:rsidP="00956E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26A4192" w14:textId="48A22A9D" w:rsidR="00B77B85" w:rsidRDefault="00B77B85" w:rsidP="00956E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P0534 – Počet vyučovacích hodín vzdelávania, ktoré absolvovali zamestnanci RO/SO</w:t>
            </w:r>
          </w:p>
        </w:tc>
        <w:tc>
          <w:tcPr>
            <w:tcW w:w="4252" w:type="dxa"/>
            <w:vAlign w:val="center"/>
          </w:tcPr>
          <w:p w14:paraId="41622201" w14:textId="032449A5" w:rsidR="00B77B85" w:rsidRDefault="00F323A8" w:rsidP="00F323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 w:rsidR="00B77B85" w:rsidRPr="00292F02">
              <w:rPr>
                <w:rFonts w:ascii="Calibri" w:hAnsi="Calibri" w:cs="Calibri"/>
                <w:color w:val="000000"/>
                <w:sz w:val="20"/>
                <w:szCs w:val="20"/>
              </w:rPr>
              <w:t>oč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="00B77B85" w:rsidRPr="00292F02">
              <w:rPr>
                <w:rFonts w:ascii="Calibri" w:hAnsi="Calibri" w:cs="Calibri"/>
                <w:color w:val="000000"/>
                <w:sz w:val="20"/>
                <w:szCs w:val="20"/>
              </w:rPr>
              <w:t>t vyučovacích hodín vzdelávania, ktoré absolvovali zamestnanci RO/SO v danom roku</w:t>
            </w:r>
            <w:r w:rsidR="0057252C">
              <w:rPr>
                <w:rStyle w:val="Odkaznapoznmkupodiarou"/>
                <w:rFonts w:ascii="Calibri" w:hAnsi="Calibri"/>
                <w:color w:val="000000"/>
                <w:sz w:val="20"/>
                <w:szCs w:val="20"/>
              </w:rPr>
              <w:footnoteReference w:id="5"/>
            </w:r>
          </w:p>
        </w:tc>
        <w:tc>
          <w:tcPr>
            <w:tcW w:w="993" w:type="dxa"/>
            <w:vAlign w:val="center"/>
          </w:tcPr>
          <w:p w14:paraId="6CBF6165" w14:textId="100F4E35" w:rsidR="00B77B85" w:rsidRDefault="00B77B85" w:rsidP="00956E6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počet</w:t>
            </w:r>
          </w:p>
        </w:tc>
        <w:tc>
          <w:tcPr>
            <w:tcW w:w="1701" w:type="dxa"/>
            <w:vAlign w:val="center"/>
          </w:tcPr>
          <w:p w14:paraId="05085927" w14:textId="36380A9E" w:rsidR="00B77B85" w:rsidRPr="001E5427" w:rsidRDefault="00B77B85" w:rsidP="00956E6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774EE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 dátumu ukončenia realizácie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aktivity</w:t>
            </w:r>
          </w:p>
        </w:tc>
        <w:tc>
          <w:tcPr>
            <w:tcW w:w="851" w:type="dxa"/>
            <w:gridSpan w:val="2"/>
            <w:vAlign w:val="center"/>
          </w:tcPr>
          <w:p w14:paraId="2C50F194" w14:textId="1EFC0E31" w:rsidR="00B77B85" w:rsidRDefault="00B77B85" w:rsidP="00956E6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nie</w:t>
            </w:r>
          </w:p>
        </w:tc>
        <w:tc>
          <w:tcPr>
            <w:tcW w:w="709" w:type="dxa"/>
            <w:vAlign w:val="center"/>
          </w:tcPr>
          <w:p w14:paraId="38508E63" w14:textId="46B92985" w:rsidR="00B77B85" w:rsidRDefault="00B77B85" w:rsidP="00956E6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nie</w:t>
            </w:r>
          </w:p>
        </w:tc>
      </w:tr>
    </w:tbl>
    <w:p w14:paraId="3F52F9BB" w14:textId="77777777" w:rsidR="005D7CFC" w:rsidRDefault="005D7CFC"/>
    <w:p w14:paraId="523F6738" w14:textId="5DE7B7D2" w:rsidR="007F0F34" w:rsidRDefault="007F0F34"/>
    <w:p w14:paraId="037295C1" w14:textId="77777777" w:rsidR="007F0F34" w:rsidRDefault="007F0F34"/>
    <w:p w14:paraId="799533FA" w14:textId="3935625A" w:rsidR="000F10DD" w:rsidRPr="007F0F34" w:rsidRDefault="000F10DD" w:rsidP="007F0F34">
      <w:pPr>
        <w:pStyle w:val="Hlavika"/>
        <w:spacing w:after="120"/>
        <w:rPr>
          <w:rFonts w:asciiTheme="minorHAnsi" w:hAnsiTheme="minorHAnsi" w:cstheme="minorHAnsi"/>
          <w:b/>
          <w:sz w:val="20"/>
          <w:szCs w:val="22"/>
        </w:rPr>
      </w:pPr>
      <w:r w:rsidRPr="007F0F34">
        <w:rPr>
          <w:rFonts w:asciiTheme="minorHAnsi" w:hAnsiTheme="minorHAnsi" w:cstheme="minorHAnsi"/>
          <w:b/>
          <w:sz w:val="20"/>
          <w:szCs w:val="22"/>
        </w:rPr>
        <w:t xml:space="preserve">Typ aktivity </w:t>
      </w:r>
      <w:r w:rsidR="00BA2E8C" w:rsidRPr="007F0F34">
        <w:rPr>
          <w:rFonts w:asciiTheme="minorHAnsi" w:hAnsiTheme="minorHAnsi" w:cstheme="minorHAnsi"/>
          <w:b/>
          <w:sz w:val="20"/>
          <w:szCs w:val="22"/>
        </w:rPr>
        <w:t>pre projekt 2</w:t>
      </w:r>
      <w:r w:rsidR="00E93BD6" w:rsidRPr="007F0F34">
        <w:rPr>
          <w:rFonts w:asciiTheme="minorHAnsi" w:hAnsiTheme="minorHAnsi" w:cstheme="minorHAnsi"/>
          <w:b/>
          <w:sz w:val="20"/>
          <w:szCs w:val="22"/>
        </w:rPr>
        <w:t xml:space="preserve"> </w:t>
      </w:r>
      <w:r w:rsidRPr="007F0F34">
        <w:rPr>
          <w:rFonts w:asciiTheme="minorHAnsi" w:hAnsiTheme="minorHAnsi" w:cstheme="minorHAnsi"/>
          <w:b/>
          <w:sz w:val="20"/>
          <w:szCs w:val="22"/>
        </w:rPr>
        <w:t xml:space="preserve">– </w:t>
      </w:r>
      <w:r w:rsidR="007A5628" w:rsidRPr="007F0F34">
        <w:rPr>
          <w:rFonts w:asciiTheme="minorHAnsi" w:hAnsiTheme="minorHAnsi" w:cs="Arial"/>
          <w:b/>
          <w:sz w:val="20"/>
          <w:szCs w:val="22"/>
        </w:rPr>
        <w:t>Príprava, implementácia, monitorovanie, hodnotenie, kontrola a audit.</w:t>
      </w:r>
    </w:p>
    <w:tbl>
      <w:tblPr>
        <w:tblStyle w:val="Mriekatabuky"/>
        <w:tblW w:w="13750" w:type="dxa"/>
        <w:tblInd w:w="-5" w:type="dxa"/>
        <w:tblLook w:val="04A0" w:firstRow="1" w:lastRow="0" w:firstColumn="1" w:lastColumn="0" w:noHBand="0" w:noVBand="1"/>
      </w:tblPr>
      <w:tblGrid>
        <w:gridCol w:w="2694"/>
        <w:gridCol w:w="2835"/>
        <w:gridCol w:w="3118"/>
        <w:gridCol w:w="1047"/>
        <w:gridCol w:w="1788"/>
        <w:gridCol w:w="992"/>
        <w:gridCol w:w="1276"/>
      </w:tblGrid>
      <w:tr w:rsidR="000F10DD" w:rsidRPr="00774EED" w14:paraId="776A67A8" w14:textId="77777777" w:rsidTr="007F0F34">
        <w:trPr>
          <w:trHeight w:val="340"/>
        </w:trPr>
        <w:tc>
          <w:tcPr>
            <w:tcW w:w="2694" w:type="dxa"/>
            <w:vMerge w:val="restart"/>
            <w:shd w:val="clear" w:color="auto" w:fill="F89C57"/>
            <w:vAlign w:val="center"/>
          </w:tcPr>
          <w:p w14:paraId="6BF808F6" w14:textId="29794818" w:rsidR="000F10DD" w:rsidRPr="00774EED" w:rsidRDefault="00BA2E8C" w:rsidP="007E1F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2E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Hlavná aktivita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pre projekt 2</w:t>
            </w:r>
          </w:p>
        </w:tc>
        <w:tc>
          <w:tcPr>
            <w:tcW w:w="2835" w:type="dxa"/>
            <w:vMerge w:val="restart"/>
            <w:shd w:val="clear" w:color="auto" w:fill="F89C57"/>
            <w:vAlign w:val="center"/>
          </w:tcPr>
          <w:p w14:paraId="257CAB0C" w14:textId="77777777" w:rsidR="000F10DD" w:rsidRPr="00774EED" w:rsidRDefault="000F10DD" w:rsidP="007E1F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EED">
              <w:rPr>
                <w:rFonts w:asciiTheme="minorHAnsi" w:hAnsiTheme="minorHAnsi" w:cstheme="minorHAnsi"/>
                <w:b/>
                <w:sz w:val="20"/>
                <w:szCs w:val="20"/>
              </w:rPr>
              <w:t>Povinné merateľné ukazovatele</w:t>
            </w:r>
          </w:p>
        </w:tc>
        <w:tc>
          <w:tcPr>
            <w:tcW w:w="3118" w:type="dxa"/>
            <w:vMerge w:val="restart"/>
            <w:shd w:val="clear" w:color="auto" w:fill="F89C57"/>
            <w:vAlign w:val="center"/>
          </w:tcPr>
          <w:p w14:paraId="3ABAB191" w14:textId="77777777" w:rsidR="000F10DD" w:rsidRPr="00774EED" w:rsidRDefault="000F10DD" w:rsidP="007E1F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EED">
              <w:rPr>
                <w:rFonts w:asciiTheme="minorHAnsi" w:hAnsiTheme="minorHAnsi" w:cstheme="minorHAnsi"/>
                <w:b/>
                <w:sz w:val="20"/>
                <w:szCs w:val="20"/>
              </w:rPr>
              <w:t>Definícia povinného merateľného ukazovateľa</w:t>
            </w:r>
          </w:p>
        </w:tc>
        <w:tc>
          <w:tcPr>
            <w:tcW w:w="1047" w:type="dxa"/>
            <w:vMerge w:val="restart"/>
            <w:shd w:val="clear" w:color="auto" w:fill="F89C57"/>
            <w:vAlign w:val="center"/>
          </w:tcPr>
          <w:p w14:paraId="273AE916" w14:textId="77777777" w:rsidR="000F10DD" w:rsidRPr="00774EED" w:rsidRDefault="000F10DD" w:rsidP="007E1F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EED">
              <w:rPr>
                <w:rFonts w:asciiTheme="minorHAnsi" w:hAnsiTheme="minorHAnsi" w:cstheme="minorHAnsi"/>
                <w:b/>
                <w:sz w:val="20"/>
                <w:szCs w:val="20"/>
              </w:rPr>
              <w:t>Merná jednotka</w:t>
            </w:r>
          </w:p>
        </w:tc>
        <w:tc>
          <w:tcPr>
            <w:tcW w:w="1788" w:type="dxa"/>
            <w:vMerge w:val="restart"/>
            <w:shd w:val="clear" w:color="auto" w:fill="F89C57"/>
            <w:vAlign w:val="center"/>
          </w:tcPr>
          <w:p w14:paraId="1A0CA991" w14:textId="77777777" w:rsidR="000F10DD" w:rsidRPr="00774EED" w:rsidRDefault="000F10DD" w:rsidP="007E1F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EED">
              <w:rPr>
                <w:rFonts w:asciiTheme="minorHAnsi" w:hAnsiTheme="minorHAnsi" w:cstheme="minorHAnsi"/>
                <w:b/>
                <w:sz w:val="20"/>
                <w:szCs w:val="20"/>
              </w:rPr>
              <w:t>Čas plnenia</w:t>
            </w:r>
          </w:p>
        </w:tc>
        <w:tc>
          <w:tcPr>
            <w:tcW w:w="2268" w:type="dxa"/>
            <w:gridSpan w:val="2"/>
            <w:shd w:val="clear" w:color="auto" w:fill="F89C57"/>
            <w:vAlign w:val="center"/>
          </w:tcPr>
          <w:p w14:paraId="72D1D878" w14:textId="77777777" w:rsidR="000F10DD" w:rsidRPr="00774EED" w:rsidRDefault="000F10DD" w:rsidP="007E1F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EED">
              <w:rPr>
                <w:rFonts w:asciiTheme="minorHAnsi" w:hAnsiTheme="minorHAnsi" w:cstheme="minorHAnsi"/>
                <w:b/>
                <w:sz w:val="20"/>
                <w:szCs w:val="20"/>
              </w:rPr>
              <w:t>Relevancia k HP</w:t>
            </w:r>
          </w:p>
        </w:tc>
      </w:tr>
      <w:tr w:rsidR="000F10DD" w:rsidRPr="00774EED" w14:paraId="2AF8B98D" w14:textId="77777777" w:rsidTr="007F0F34">
        <w:trPr>
          <w:trHeight w:val="339"/>
        </w:trPr>
        <w:tc>
          <w:tcPr>
            <w:tcW w:w="2694" w:type="dxa"/>
            <w:vMerge/>
            <w:shd w:val="clear" w:color="auto" w:fill="F89C57"/>
            <w:vAlign w:val="center"/>
          </w:tcPr>
          <w:p w14:paraId="48177FCF" w14:textId="77777777" w:rsidR="000F10DD" w:rsidRPr="00774EED" w:rsidRDefault="000F10DD" w:rsidP="007E1F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89C57"/>
          </w:tcPr>
          <w:p w14:paraId="488EF1B4" w14:textId="77777777" w:rsidR="000F10DD" w:rsidRPr="00774EED" w:rsidRDefault="000F10DD" w:rsidP="007E1F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89C57"/>
            <w:vAlign w:val="center"/>
          </w:tcPr>
          <w:p w14:paraId="2EDB6780" w14:textId="77777777" w:rsidR="000F10DD" w:rsidRPr="00774EED" w:rsidRDefault="000F10DD" w:rsidP="007E1F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F89C57"/>
          </w:tcPr>
          <w:p w14:paraId="321E5C90" w14:textId="77777777" w:rsidR="000F10DD" w:rsidRPr="00774EED" w:rsidRDefault="000F10DD" w:rsidP="007E1F5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F89C57"/>
            <w:vAlign w:val="center"/>
          </w:tcPr>
          <w:p w14:paraId="51D1C997" w14:textId="77777777" w:rsidR="000F10DD" w:rsidRPr="00774EED" w:rsidRDefault="000F10DD" w:rsidP="007E1F5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89C57"/>
            <w:vAlign w:val="center"/>
          </w:tcPr>
          <w:p w14:paraId="782F986B" w14:textId="77777777" w:rsidR="000F10DD" w:rsidRPr="00774EED" w:rsidRDefault="000F10DD" w:rsidP="007E1F5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74EE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HP UR</w:t>
            </w:r>
          </w:p>
        </w:tc>
        <w:tc>
          <w:tcPr>
            <w:tcW w:w="1276" w:type="dxa"/>
            <w:shd w:val="clear" w:color="auto" w:fill="F89C57"/>
            <w:vAlign w:val="center"/>
          </w:tcPr>
          <w:p w14:paraId="54F736A8" w14:textId="24B11796" w:rsidR="000F10DD" w:rsidRPr="00774EED" w:rsidRDefault="000F10DD" w:rsidP="009A24F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74EE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HP R</w:t>
            </w:r>
            <w:r w:rsidR="009A24F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M</w:t>
            </w:r>
            <w:r w:rsidRPr="00774EE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Ž a ND</w:t>
            </w:r>
          </w:p>
        </w:tc>
      </w:tr>
      <w:tr w:rsidR="00C7182E" w:rsidRPr="00774EED" w14:paraId="56383CD1" w14:textId="77777777" w:rsidTr="007F0F34">
        <w:trPr>
          <w:trHeight w:val="581"/>
        </w:trPr>
        <w:tc>
          <w:tcPr>
            <w:tcW w:w="2694" w:type="dxa"/>
            <w:shd w:val="clear" w:color="auto" w:fill="F89C57"/>
            <w:vAlign w:val="center"/>
          </w:tcPr>
          <w:p w14:paraId="22F32CFE" w14:textId="6A7A8C0F" w:rsidR="00C7182E" w:rsidRPr="00F84AA2" w:rsidRDefault="00C7182E" w:rsidP="00E704B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0F34">
              <w:rPr>
                <w:rFonts w:asciiTheme="minorHAnsi" w:hAnsiTheme="minorHAnsi" w:cs="Arial"/>
                <w:b/>
                <w:sz w:val="20"/>
                <w:szCs w:val="20"/>
                <w:shd w:val="clear" w:color="auto" w:fill="F89C57"/>
              </w:rPr>
              <w:t>Zabezpečenie interných a externých služieb súvisiacich s prípravou, implementáciou</w:t>
            </w:r>
            <w:r w:rsidRPr="00F84AA2">
              <w:rPr>
                <w:rFonts w:asciiTheme="minorHAnsi" w:hAnsiTheme="minorHAnsi" w:cs="Arial"/>
                <w:b/>
                <w:sz w:val="20"/>
                <w:szCs w:val="20"/>
              </w:rPr>
              <w:t>, monitorovaním, hodnotením, kontrolou a auditom</w:t>
            </w:r>
          </w:p>
        </w:tc>
        <w:tc>
          <w:tcPr>
            <w:tcW w:w="2835" w:type="dxa"/>
            <w:vAlign w:val="center"/>
          </w:tcPr>
          <w:p w14:paraId="6611CCC9" w14:textId="2069DABA" w:rsidR="00C7182E" w:rsidRPr="00CB5B16" w:rsidRDefault="00C7182E" w:rsidP="004347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74EED">
              <w:rPr>
                <w:rFonts w:asciiTheme="minorHAnsi" w:hAnsiTheme="minorHAnsi" w:cstheme="minorHAnsi"/>
                <w:sz w:val="20"/>
                <w:szCs w:val="20"/>
              </w:rPr>
              <w:t>P05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07</w:t>
            </w:r>
            <w:r w:rsidRPr="00774EED">
              <w:rPr>
                <w:rFonts w:asciiTheme="minorHAnsi" w:hAnsiTheme="minorHAnsi" w:cstheme="minorHAnsi"/>
                <w:sz w:val="20"/>
                <w:szCs w:val="20"/>
              </w:rPr>
              <w:t xml:space="preserve"> – Počet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vypracovaných materiálov (hodnotení, analýz, štúdií, a pod.)</w:t>
            </w:r>
          </w:p>
        </w:tc>
        <w:tc>
          <w:tcPr>
            <w:tcW w:w="3118" w:type="dxa"/>
            <w:vAlign w:val="center"/>
          </w:tcPr>
          <w:p w14:paraId="53EA23EB" w14:textId="2B4EFEFC" w:rsidR="005A5BE9" w:rsidRPr="00B52EFA" w:rsidRDefault="00F323A8" w:rsidP="00F323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 w:rsidR="00EF272D" w:rsidRPr="00292F02">
              <w:rPr>
                <w:rFonts w:ascii="Calibri" w:hAnsi="Calibri" w:cs="Calibri"/>
                <w:color w:val="000000"/>
                <w:sz w:val="20"/>
                <w:szCs w:val="20"/>
              </w:rPr>
              <w:t>oč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="00EF272D" w:rsidRPr="00292F02">
              <w:rPr>
                <w:rFonts w:ascii="Calibri" w:hAnsi="Calibri" w:cs="Calibri"/>
                <w:color w:val="000000"/>
                <w:sz w:val="20"/>
                <w:szCs w:val="20"/>
              </w:rPr>
              <w:t>t vypracovaných materiálov (hodnotení, analýz, štúdií, a pod.)</w:t>
            </w:r>
          </w:p>
        </w:tc>
        <w:tc>
          <w:tcPr>
            <w:tcW w:w="1047" w:type="dxa"/>
            <w:vAlign w:val="center"/>
          </w:tcPr>
          <w:p w14:paraId="5870D399" w14:textId="33E6FB50" w:rsidR="00C7182E" w:rsidRPr="00774EED" w:rsidRDefault="00292F02" w:rsidP="0040226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počet</w:t>
            </w:r>
          </w:p>
        </w:tc>
        <w:tc>
          <w:tcPr>
            <w:tcW w:w="1788" w:type="dxa"/>
            <w:vAlign w:val="center"/>
          </w:tcPr>
          <w:p w14:paraId="7B727DA1" w14:textId="666D8B40" w:rsidR="00C7182E" w:rsidRPr="00774EED" w:rsidRDefault="00B808C5" w:rsidP="0040226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74EE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 dátumu ukončenia realizácie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aktivity</w:t>
            </w:r>
          </w:p>
        </w:tc>
        <w:tc>
          <w:tcPr>
            <w:tcW w:w="992" w:type="dxa"/>
            <w:vAlign w:val="center"/>
          </w:tcPr>
          <w:p w14:paraId="724A7CA6" w14:textId="4AB7D055" w:rsidR="00C7182E" w:rsidRPr="00774EED" w:rsidRDefault="00B808C5" w:rsidP="0040226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nie</w:t>
            </w:r>
          </w:p>
        </w:tc>
        <w:tc>
          <w:tcPr>
            <w:tcW w:w="1276" w:type="dxa"/>
            <w:vAlign w:val="center"/>
          </w:tcPr>
          <w:p w14:paraId="2E9CF38D" w14:textId="7E192E10" w:rsidR="00C7182E" w:rsidRPr="00774EED" w:rsidRDefault="00C7182E" w:rsidP="0040226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áno</w:t>
            </w:r>
          </w:p>
        </w:tc>
      </w:tr>
    </w:tbl>
    <w:p w14:paraId="49CBD09F" w14:textId="77777777" w:rsidR="00831235" w:rsidRDefault="00831235" w:rsidP="00CC15BE">
      <w:pPr>
        <w:pStyle w:val="Hlavika"/>
        <w:rPr>
          <w:rFonts w:asciiTheme="minorHAnsi" w:hAnsiTheme="minorHAnsi" w:cstheme="minorHAnsi"/>
          <w:sz w:val="16"/>
          <w:szCs w:val="16"/>
        </w:rPr>
      </w:pPr>
    </w:p>
    <w:p w14:paraId="266BE9D7" w14:textId="38AF28CC" w:rsidR="007F0F34" w:rsidRDefault="007F0F34" w:rsidP="00CC15BE">
      <w:pPr>
        <w:pStyle w:val="Hlavika"/>
        <w:rPr>
          <w:rFonts w:asciiTheme="minorHAnsi" w:hAnsiTheme="minorHAnsi" w:cstheme="minorHAnsi"/>
          <w:sz w:val="16"/>
          <w:szCs w:val="16"/>
        </w:rPr>
      </w:pPr>
    </w:p>
    <w:p w14:paraId="708BA7BE" w14:textId="77777777" w:rsidR="007F0F34" w:rsidRDefault="007F0F34" w:rsidP="00CC15BE">
      <w:pPr>
        <w:pStyle w:val="Hlavika"/>
        <w:rPr>
          <w:rFonts w:asciiTheme="minorHAnsi" w:hAnsiTheme="minorHAnsi" w:cstheme="minorHAnsi"/>
          <w:sz w:val="16"/>
          <w:szCs w:val="16"/>
        </w:rPr>
      </w:pPr>
    </w:p>
    <w:p w14:paraId="07778990" w14:textId="77777777" w:rsidR="007F0F34" w:rsidRDefault="007F0F34" w:rsidP="00CC15BE">
      <w:pPr>
        <w:pStyle w:val="Hlavika"/>
        <w:rPr>
          <w:rFonts w:asciiTheme="minorHAnsi" w:hAnsiTheme="minorHAnsi" w:cstheme="minorHAnsi"/>
          <w:sz w:val="16"/>
          <w:szCs w:val="16"/>
        </w:rPr>
      </w:pPr>
    </w:p>
    <w:p w14:paraId="08832E00" w14:textId="77777777" w:rsidR="007F0F34" w:rsidRDefault="007F0F34" w:rsidP="00CC15BE">
      <w:pPr>
        <w:pStyle w:val="Hlavika"/>
        <w:rPr>
          <w:rFonts w:asciiTheme="minorHAnsi" w:hAnsiTheme="minorHAnsi" w:cstheme="minorHAnsi"/>
          <w:sz w:val="16"/>
          <w:szCs w:val="16"/>
        </w:rPr>
      </w:pPr>
    </w:p>
    <w:p w14:paraId="17C864E3" w14:textId="77777777" w:rsidR="007F0F34" w:rsidRDefault="007F0F34" w:rsidP="00CC15BE">
      <w:pPr>
        <w:pStyle w:val="Hlavika"/>
        <w:rPr>
          <w:rFonts w:asciiTheme="minorHAnsi" w:hAnsiTheme="minorHAnsi" w:cstheme="minorHAnsi"/>
          <w:sz w:val="16"/>
          <w:szCs w:val="16"/>
        </w:rPr>
      </w:pPr>
    </w:p>
    <w:p w14:paraId="07E2DCCE" w14:textId="77777777" w:rsidR="007F0F34" w:rsidRDefault="007F0F34" w:rsidP="00CC15BE">
      <w:pPr>
        <w:pStyle w:val="Hlavika"/>
        <w:rPr>
          <w:rFonts w:asciiTheme="minorHAnsi" w:hAnsiTheme="minorHAnsi" w:cstheme="minorHAnsi"/>
          <w:sz w:val="16"/>
          <w:szCs w:val="16"/>
        </w:rPr>
      </w:pPr>
    </w:p>
    <w:p w14:paraId="253D90BF" w14:textId="77777777" w:rsidR="007F0F34" w:rsidRDefault="007F0F34" w:rsidP="00CC15BE">
      <w:pPr>
        <w:pStyle w:val="Hlavika"/>
        <w:rPr>
          <w:rFonts w:asciiTheme="minorHAnsi" w:hAnsiTheme="minorHAnsi" w:cstheme="minorHAnsi"/>
          <w:sz w:val="16"/>
          <w:szCs w:val="16"/>
        </w:rPr>
      </w:pPr>
    </w:p>
    <w:p w14:paraId="45E6B4EC" w14:textId="77777777" w:rsidR="007F0F34" w:rsidRDefault="007F0F34" w:rsidP="00CC15BE">
      <w:pPr>
        <w:pStyle w:val="Hlavika"/>
        <w:rPr>
          <w:rFonts w:asciiTheme="minorHAnsi" w:hAnsiTheme="minorHAnsi" w:cstheme="minorHAnsi"/>
          <w:sz w:val="16"/>
          <w:szCs w:val="16"/>
        </w:rPr>
      </w:pPr>
    </w:p>
    <w:p w14:paraId="3EB78ACA" w14:textId="77777777" w:rsidR="007F0F34" w:rsidRDefault="007F0F34" w:rsidP="00CC15BE">
      <w:pPr>
        <w:pStyle w:val="Hlavika"/>
        <w:rPr>
          <w:rFonts w:asciiTheme="minorHAnsi" w:hAnsiTheme="minorHAnsi" w:cstheme="minorHAnsi"/>
          <w:sz w:val="16"/>
          <w:szCs w:val="16"/>
        </w:rPr>
      </w:pPr>
    </w:p>
    <w:p w14:paraId="2254450C" w14:textId="77777777" w:rsidR="007F0F34" w:rsidRDefault="007F0F34" w:rsidP="00CC15BE">
      <w:pPr>
        <w:pStyle w:val="Hlavika"/>
        <w:rPr>
          <w:rFonts w:asciiTheme="minorHAnsi" w:hAnsiTheme="minorHAnsi" w:cstheme="minorHAnsi"/>
          <w:sz w:val="16"/>
          <w:szCs w:val="16"/>
        </w:rPr>
      </w:pPr>
    </w:p>
    <w:p w14:paraId="15E992C9" w14:textId="77777777" w:rsidR="007F0F34" w:rsidRDefault="007F0F34" w:rsidP="00CC15BE">
      <w:pPr>
        <w:pStyle w:val="Hlavika"/>
        <w:rPr>
          <w:rFonts w:asciiTheme="minorHAnsi" w:hAnsiTheme="minorHAnsi" w:cstheme="minorHAnsi"/>
          <w:sz w:val="16"/>
          <w:szCs w:val="16"/>
        </w:rPr>
      </w:pPr>
    </w:p>
    <w:p w14:paraId="3CB0F00D" w14:textId="77777777" w:rsidR="007F0F34" w:rsidRDefault="007F0F34" w:rsidP="00CC15BE">
      <w:pPr>
        <w:pStyle w:val="Hlavika"/>
        <w:rPr>
          <w:rFonts w:asciiTheme="minorHAnsi" w:hAnsiTheme="minorHAnsi" w:cstheme="minorHAnsi"/>
          <w:sz w:val="16"/>
          <w:szCs w:val="16"/>
        </w:rPr>
      </w:pPr>
    </w:p>
    <w:p w14:paraId="6AF6040D" w14:textId="77777777" w:rsidR="007F0F34" w:rsidRDefault="007F0F34" w:rsidP="00CC15BE">
      <w:pPr>
        <w:pStyle w:val="Hlavika"/>
        <w:rPr>
          <w:rFonts w:asciiTheme="minorHAnsi" w:hAnsiTheme="minorHAnsi" w:cstheme="minorHAnsi"/>
          <w:sz w:val="16"/>
          <w:szCs w:val="16"/>
        </w:rPr>
      </w:pPr>
    </w:p>
    <w:p w14:paraId="7B06650C" w14:textId="77777777" w:rsidR="007F0F34" w:rsidRDefault="007F0F34" w:rsidP="00CC15BE">
      <w:pPr>
        <w:pStyle w:val="Hlavika"/>
        <w:rPr>
          <w:rFonts w:asciiTheme="minorHAnsi" w:hAnsiTheme="minorHAnsi" w:cstheme="minorHAnsi"/>
          <w:sz w:val="16"/>
          <w:szCs w:val="16"/>
        </w:rPr>
      </w:pPr>
    </w:p>
    <w:p w14:paraId="3F5F8727" w14:textId="77777777" w:rsidR="007F0F34" w:rsidRDefault="007F0F34" w:rsidP="00CC15BE">
      <w:pPr>
        <w:pStyle w:val="Hlavika"/>
        <w:rPr>
          <w:rFonts w:asciiTheme="minorHAnsi" w:hAnsiTheme="minorHAnsi" w:cstheme="minorHAnsi"/>
          <w:sz w:val="16"/>
          <w:szCs w:val="16"/>
        </w:rPr>
      </w:pPr>
    </w:p>
    <w:p w14:paraId="4ED0BE81" w14:textId="77777777" w:rsidR="007F0F34" w:rsidRDefault="007F0F34" w:rsidP="00CC15BE">
      <w:pPr>
        <w:pStyle w:val="Hlavika"/>
        <w:rPr>
          <w:rFonts w:asciiTheme="minorHAnsi" w:hAnsiTheme="minorHAnsi" w:cstheme="minorHAnsi"/>
          <w:sz w:val="16"/>
          <w:szCs w:val="16"/>
        </w:rPr>
      </w:pPr>
    </w:p>
    <w:p w14:paraId="392944D0" w14:textId="77777777" w:rsidR="007F0F34" w:rsidRDefault="007F0F34" w:rsidP="00CC15BE">
      <w:pPr>
        <w:pStyle w:val="Hlavika"/>
        <w:rPr>
          <w:rFonts w:asciiTheme="minorHAnsi" w:hAnsiTheme="minorHAnsi" w:cstheme="minorHAnsi"/>
          <w:sz w:val="16"/>
          <w:szCs w:val="16"/>
        </w:rPr>
      </w:pPr>
    </w:p>
    <w:p w14:paraId="7F41B341" w14:textId="77777777" w:rsidR="007F0F34" w:rsidRDefault="007F0F34" w:rsidP="00CC15BE">
      <w:pPr>
        <w:pStyle w:val="Hlavika"/>
        <w:rPr>
          <w:rFonts w:asciiTheme="minorHAnsi" w:hAnsiTheme="minorHAnsi" w:cstheme="minorHAnsi"/>
          <w:sz w:val="16"/>
          <w:szCs w:val="16"/>
        </w:rPr>
      </w:pPr>
    </w:p>
    <w:p w14:paraId="1686C0B3" w14:textId="77777777" w:rsidR="007F0F34" w:rsidRDefault="007F0F34" w:rsidP="00CC15BE">
      <w:pPr>
        <w:pStyle w:val="Hlavika"/>
        <w:rPr>
          <w:rFonts w:asciiTheme="minorHAnsi" w:hAnsiTheme="minorHAnsi" w:cstheme="minorHAnsi"/>
          <w:sz w:val="16"/>
          <w:szCs w:val="16"/>
        </w:rPr>
      </w:pPr>
    </w:p>
    <w:p w14:paraId="4A9B3EB6" w14:textId="77777777" w:rsidR="007F0F34" w:rsidRDefault="007F0F34" w:rsidP="00CC15BE">
      <w:pPr>
        <w:pStyle w:val="Hlavika"/>
        <w:rPr>
          <w:rFonts w:asciiTheme="minorHAnsi" w:hAnsiTheme="minorHAnsi" w:cstheme="minorHAnsi"/>
          <w:sz w:val="16"/>
          <w:szCs w:val="16"/>
        </w:rPr>
      </w:pPr>
    </w:p>
    <w:p w14:paraId="40C1A1FC" w14:textId="77777777" w:rsidR="007F0F34" w:rsidRDefault="007F0F34" w:rsidP="00CC15BE">
      <w:pPr>
        <w:pStyle w:val="Hlavika"/>
        <w:rPr>
          <w:rFonts w:asciiTheme="minorHAnsi" w:hAnsiTheme="minorHAnsi" w:cstheme="minorHAnsi"/>
          <w:sz w:val="16"/>
          <w:szCs w:val="16"/>
        </w:rPr>
      </w:pPr>
    </w:p>
    <w:p w14:paraId="5F702087" w14:textId="77777777" w:rsidR="007F0F34" w:rsidRDefault="007F0F34" w:rsidP="00CC15BE">
      <w:pPr>
        <w:pStyle w:val="Hlavika"/>
        <w:rPr>
          <w:rFonts w:asciiTheme="minorHAnsi" w:hAnsiTheme="minorHAnsi" w:cstheme="minorHAnsi"/>
          <w:sz w:val="16"/>
          <w:szCs w:val="16"/>
        </w:rPr>
      </w:pPr>
    </w:p>
    <w:p w14:paraId="6B9CCF08" w14:textId="77777777" w:rsidR="007F0F34" w:rsidRDefault="007F0F34" w:rsidP="00CC15BE">
      <w:pPr>
        <w:pStyle w:val="Hlavika"/>
        <w:rPr>
          <w:rFonts w:asciiTheme="minorHAnsi" w:hAnsiTheme="minorHAnsi" w:cstheme="minorHAnsi"/>
          <w:sz w:val="16"/>
          <w:szCs w:val="16"/>
        </w:rPr>
      </w:pPr>
    </w:p>
    <w:p w14:paraId="79BF46A3" w14:textId="77777777" w:rsidR="007F0F34" w:rsidRDefault="007F0F34" w:rsidP="00CC15BE">
      <w:pPr>
        <w:pStyle w:val="Hlavika"/>
        <w:rPr>
          <w:rFonts w:asciiTheme="minorHAnsi" w:hAnsiTheme="minorHAnsi" w:cstheme="minorHAnsi"/>
          <w:sz w:val="16"/>
          <w:szCs w:val="16"/>
        </w:rPr>
      </w:pPr>
    </w:p>
    <w:p w14:paraId="3A05C83C" w14:textId="77777777" w:rsidR="007F0F34" w:rsidRDefault="007F0F34" w:rsidP="00CC15BE">
      <w:pPr>
        <w:pStyle w:val="Hlavika"/>
        <w:rPr>
          <w:rFonts w:asciiTheme="minorHAnsi" w:hAnsiTheme="minorHAnsi" w:cstheme="minorHAnsi"/>
          <w:sz w:val="16"/>
          <w:szCs w:val="16"/>
        </w:rPr>
      </w:pPr>
    </w:p>
    <w:p w14:paraId="0ADF8ABB" w14:textId="77777777" w:rsidR="007F0F34" w:rsidRDefault="007F0F34" w:rsidP="00CC15BE">
      <w:pPr>
        <w:pStyle w:val="Hlavika"/>
        <w:rPr>
          <w:rFonts w:asciiTheme="minorHAnsi" w:hAnsiTheme="minorHAnsi" w:cstheme="minorHAnsi"/>
          <w:sz w:val="16"/>
          <w:szCs w:val="16"/>
        </w:rPr>
      </w:pPr>
    </w:p>
    <w:p w14:paraId="3CD9CEBF" w14:textId="77777777" w:rsidR="007F0F34" w:rsidRDefault="007F0F34" w:rsidP="00CC15BE">
      <w:pPr>
        <w:pStyle w:val="Hlavika"/>
        <w:rPr>
          <w:rFonts w:asciiTheme="minorHAnsi" w:hAnsiTheme="minorHAnsi" w:cstheme="minorHAnsi"/>
          <w:sz w:val="16"/>
          <w:szCs w:val="16"/>
        </w:rPr>
      </w:pPr>
    </w:p>
    <w:p w14:paraId="288028A5" w14:textId="77777777" w:rsidR="007F0F34" w:rsidRDefault="007F0F34" w:rsidP="00CC15BE">
      <w:pPr>
        <w:pStyle w:val="Hlavika"/>
        <w:rPr>
          <w:rFonts w:asciiTheme="minorHAnsi" w:hAnsiTheme="minorHAnsi" w:cstheme="minorHAnsi"/>
          <w:sz w:val="16"/>
          <w:szCs w:val="16"/>
        </w:rPr>
      </w:pPr>
    </w:p>
    <w:p w14:paraId="4A88824D" w14:textId="77777777" w:rsidR="004A1322" w:rsidRPr="00354FF4" w:rsidRDefault="004A1322" w:rsidP="00CC15BE">
      <w:pPr>
        <w:pStyle w:val="Hlavika"/>
        <w:rPr>
          <w:rFonts w:asciiTheme="minorHAnsi" w:hAnsiTheme="minorHAnsi" w:cstheme="minorHAnsi"/>
          <w:b/>
          <w:sz w:val="10"/>
          <w:szCs w:val="10"/>
        </w:rPr>
      </w:pPr>
    </w:p>
    <w:p w14:paraId="458D4B43" w14:textId="4DB21557" w:rsidR="00CC15BE" w:rsidRPr="007F0F34" w:rsidRDefault="00CC15BE" w:rsidP="007F0F34">
      <w:pPr>
        <w:pStyle w:val="Hlavika"/>
        <w:spacing w:after="120"/>
        <w:rPr>
          <w:rFonts w:asciiTheme="minorHAnsi" w:hAnsiTheme="minorHAnsi" w:cstheme="minorHAnsi"/>
          <w:b/>
          <w:sz w:val="20"/>
          <w:szCs w:val="22"/>
        </w:rPr>
      </w:pPr>
      <w:r w:rsidRPr="007F0F34">
        <w:rPr>
          <w:rFonts w:asciiTheme="minorHAnsi" w:hAnsiTheme="minorHAnsi" w:cstheme="minorHAnsi"/>
          <w:b/>
          <w:sz w:val="20"/>
          <w:szCs w:val="22"/>
        </w:rPr>
        <w:lastRenderedPageBreak/>
        <w:t xml:space="preserve">Typ aktivity </w:t>
      </w:r>
      <w:r w:rsidR="00BA2E8C" w:rsidRPr="007F0F34">
        <w:rPr>
          <w:rFonts w:asciiTheme="minorHAnsi" w:hAnsiTheme="minorHAnsi" w:cstheme="minorHAnsi"/>
          <w:b/>
          <w:sz w:val="20"/>
          <w:szCs w:val="22"/>
        </w:rPr>
        <w:t>pre projekt 3</w:t>
      </w:r>
      <w:r w:rsidRPr="007F0F34">
        <w:rPr>
          <w:rFonts w:asciiTheme="minorHAnsi" w:hAnsiTheme="minorHAnsi" w:cstheme="minorHAnsi"/>
          <w:b/>
          <w:sz w:val="20"/>
          <w:szCs w:val="22"/>
        </w:rPr>
        <w:t xml:space="preserve"> – </w:t>
      </w:r>
      <w:r w:rsidR="00FC0165" w:rsidRPr="007F0F34">
        <w:rPr>
          <w:rFonts w:asciiTheme="minorHAnsi" w:hAnsiTheme="minorHAnsi" w:cstheme="minorHAnsi"/>
          <w:b/>
          <w:sz w:val="20"/>
          <w:szCs w:val="22"/>
        </w:rPr>
        <w:t>Informovanie a komunikácia – zabezpečenie informovania verejnosti a žiadateľov/prijímateľov a zabezpečenie publicity OP ĽZ s cieľom zdôrazniť úlohu Spoločenstva a zabezpečiť transparentnosť pomoci z fondov</w:t>
      </w:r>
    </w:p>
    <w:tbl>
      <w:tblPr>
        <w:tblStyle w:val="Mriekatabuky"/>
        <w:tblW w:w="13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4395"/>
        <w:gridCol w:w="1043"/>
        <w:gridCol w:w="1366"/>
        <w:gridCol w:w="851"/>
        <w:gridCol w:w="992"/>
      </w:tblGrid>
      <w:tr w:rsidR="00306265" w:rsidRPr="00774EED" w14:paraId="46466D0E" w14:textId="77777777" w:rsidTr="00290F7E">
        <w:trPr>
          <w:trHeight w:val="340"/>
        </w:trPr>
        <w:tc>
          <w:tcPr>
            <w:tcW w:w="2127" w:type="dxa"/>
            <w:vMerge w:val="restart"/>
            <w:shd w:val="clear" w:color="auto" w:fill="F89C57"/>
            <w:vAlign w:val="center"/>
          </w:tcPr>
          <w:p w14:paraId="588D2D85" w14:textId="480EA749" w:rsidR="00CC15BE" w:rsidRPr="00BA2E8C" w:rsidRDefault="00CC15BE" w:rsidP="00A712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2E8C">
              <w:rPr>
                <w:rFonts w:asciiTheme="minorHAnsi" w:hAnsiTheme="minorHAnsi" w:cstheme="minorHAnsi"/>
                <w:b/>
                <w:sz w:val="20"/>
                <w:szCs w:val="20"/>
              </w:rPr>
              <w:t>Hlavná aktivita</w:t>
            </w:r>
            <w:r w:rsidR="00BA2E8C" w:rsidRPr="00BA2E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pre projekt 3</w:t>
            </w:r>
          </w:p>
        </w:tc>
        <w:tc>
          <w:tcPr>
            <w:tcW w:w="2976" w:type="dxa"/>
            <w:vMerge w:val="restart"/>
            <w:shd w:val="clear" w:color="auto" w:fill="F89C57"/>
            <w:vAlign w:val="center"/>
          </w:tcPr>
          <w:p w14:paraId="3B181B89" w14:textId="77777777" w:rsidR="00CC15BE" w:rsidRPr="00774EED" w:rsidRDefault="00CC15BE" w:rsidP="00A712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EED">
              <w:rPr>
                <w:rFonts w:asciiTheme="minorHAnsi" w:hAnsiTheme="minorHAnsi" w:cstheme="minorHAnsi"/>
                <w:b/>
                <w:sz w:val="20"/>
                <w:szCs w:val="20"/>
              </w:rPr>
              <w:t>Povinné merateľné ukazovatele</w:t>
            </w:r>
          </w:p>
        </w:tc>
        <w:tc>
          <w:tcPr>
            <w:tcW w:w="4395" w:type="dxa"/>
            <w:vMerge w:val="restart"/>
            <w:shd w:val="clear" w:color="auto" w:fill="F89C57"/>
            <w:vAlign w:val="center"/>
          </w:tcPr>
          <w:p w14:paraId="26E536E8" w14:textId="77777777" w:rsidR="00CC15BE" w:rsidRPr="00774EED" w:rsidRDefault="00CC15BE" w:rsidP="00A712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EED">
              <w:rPr>
                <w:rFonts w:asciiTheme="minorHAnsi" w:hAnsiTheme="minorHAnsi" w:cstheme="minorHAnsi"/>
                <w:b/>
                <w:sz w:val="20"/>
                <w:szCs w:val="20"/>
              </w:rPr>
              <w:t>Definícia povinného merateľného ukazovateľa</w:t>
            </w:r>
          </w:p>
        </w:tc>
        <w:tc>
          <w:tcPr>
            <w:tcW w:w="1043" w:type="dxa"/>
            <w:vMerge w:val="restart"/>
            <w:shd w:val="clear" w:color="auto" w:fill="F89C57"/>
            <w:vAlign w:val="center"/>
          </w:tcPr>
          <w:p w14:paraId="4278177B" w14:textId="77777777" w:rsidR="00CC15BE" w:rsidRPr="00774EED" w:rsidRDefault="00CC15BE" w:rsidP="00A712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EED">
              <w:rPr>
                <w:rFonts w:asciiTheme="minorHAnsi" w:hAnsiTheme="minorHAnsi" w:cstheme="minorHAnsi"/>
                <w:b/>
                <w:sz w:val="20"/>
                <w:szCs w:val="20"/>
              </w:rPr>
              <w:t>Merná jednotka</w:t>
            </w:r>
          </w:p>
        </w:tc>
        <w:tc>
          <w:tcPr>
            <w:tcW w:w="1366" w:type="dxa"/>
            <w:vMerge w:val="restart"/>
            <w:shd w:val="clear" w:color="auto" w:fill="F89C57"/>
            <w:vAlign w:val="center"/>
          </w:tcPr>
          <w:p w14:paraId="1429A22D" w14:textId="77777777" w:rsidR="00CC15BE" w:rsidRPr="00774EED" w:rsidRDefault="00CC15BE" w:rsidP="00A712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EED">
              <w:rPr>
                <w:rFonts w:asciiTheme="minorHAnsi" w:hAnsiTheme="minorHAnsi" w:cstheme="minorHAnsi"/>
                <w:b/>
                <w:sz w:val="20"/>
                <w:szCs w:val="20"/>
              </w:rPr>
              <w:t>Čas plnenia</w:t>
            </w:r>
          </w:p>
        </w:tc>
        <w:tc>
          <w:tcPr>
            <w:tcW w:w="1843" w:type="dxa"/>
            <w:gridSpan w:val="2"/>
            <w:shd w:val="clear" w:color="auto" w:fill="F89C57"/>
            <w:vAlign w:val="center"/>
          </w:tcPr>
          <w:p w14:paraId="1C3F5FAF" w14:textId="77777777" w:rsidR="00CC15BE" w:rsidRPr="00774EED" w:rsidRDefault="00CC15BE" w:rsidP="00A712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EED">
              <w:rPr>
                <w:rFonts w:asciiTheme="minorHAnsi" w:hAnsiTheme="minorHAnsi" w:cstheme="minorHAnsi"/>
                <w:b/>
                <w:sz w:val="20"/>
                <w:szCs w:val="20"/>
              </w:rPr>
              <w:t>Relevancia k HP</w:t>
            </w:r>
          </w:p>
        </w:tc>
      </w:tr>
      <w:tr w:rsidR="00290F7E" w:rsidRPr="00774EED" w14:paraId="47E34CB0" w14:textId="77777777" w:rsidTr="00290F7E">
        <w:trPr>
          <w:trHeight w:val="339"/>
        </w:trPr>
        <w:tc>
          <w:tcPr>
            <w:tcW w:w="2127" w:type="dxa"/>
            <w:vMerge/>
            <w:shd w:val="clear" w:color="auto" w:fill="F89C57"/>
            <w:vAlign w:val="center"/>
          </w:tcPr>
          <w:p w14:paraId="16D27992" w14:textId="77777777" w:rsidR="00CC15BE" w:rsidRPr="00774EED" w:rsidRDefault="00CC15BE" w:rsidP="00A712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F89C57"/>
          </w:tcPr>
          <w:p w14:paraId="238E9475" w14:textId="77777777" w:rsidR="00CC15BE" w:rsidRPr="00774EED" w:rsidRDefault="00CC15BE" w:rsidP="00A712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95" w:type="dxa"/>
            <w:vMerge/>
            <w:shd w:val="clear" w:color="auto" w:fill="F89C57"/>
            <w:vAlign w:val="center"/>
          </w:tcPr>
          <w:p w14:paraId="2FE20BBF" w14:textId="77777777" w:rsidR="00CC15BE" w:rsidRPr="00774EED" w:rsidRDefault="00CC15BE" w:rsidP="00A712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F89C57"/>
          </w:tcPr>
          <w:p w14:paraId="0DE95D8E" w14:textId="77777777" w:rsidR="00CC15BE" w:rsidRPr="00774EED" w:rsidRDefault="00CC15BE" w:rsidP="00A7126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F89C57"/>
            <w:vAlign w:val="center"/>
          </w:tcPr>
          <w:p w14:paraId="4CB6C8C8" w14:textId="77777777" w:rsidR="00CC15BE" w:rsidRPr="00774EED" w:rsidRDefault="00CC15BE" w:rsidP="00A7126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89C57"/>
            <w:vAlign w:val="center"/>
          </w:tcPr>
          <w:p w14:paraId="1B418357" w14:textId="77777777" w:rsidR="00CC15BE" w:rsidRPr="00774EED" w:rsidRDefault="00CC15BE" w:rsidP="00A7126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74EE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HP UR</w:t>
            </w:r>
          </w:p>
        </w:tc>
        <w:tc>
          <w:tcPr>
            <w:tcW w:w="992" w:type="dxa"/>
            <w:shd w:val="clear" w:color="auto" w:fill="F89C57"/>
            <w:vAlign w:val="center"/>
          </w:tcPr>
          <w:p w14:paraId="3B585C8C" w14:textId="77777777" w:rsidR="00CC15BE" w:rsidRPr="00774EED" w:rsidRDefault="00CC15BE" w:rsidP="00A7126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74EE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HP R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M</w:t>
            </w:r>
            <w:r w:rsidRPr="00774EE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Ž a ND</w:t>
            </w:r>
          </w:p>
        </w:tc>
      </w:tr>
      <w:tr w:rsidR="007F0F34" w:rsidRPr="00774EED" w14:paraId="103E5F90" w14:textId="77777777" w:rsidTr="00290F7E">
        <w:tc>
          <w:tcPr>
            <w:tcW w:w="2127" w:type="dxa"/>
            <w:vMerge w:val="restart"/>
            <w:shd w:val="clear" w:color="auto" w:fill="F89C57"/>
            <w:vAlign w:val="center"/>
          </w:tcPr>
          <w:p w14:paraId="01BFE2B5" w14:textId="17377C6C" w:rsidR="007F0F34" w:rsidRPr="00FC0165" w:rsidRDefault="007F0F34" w:rsidP="00E704B5">
            <w:pP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FC0165">
              <w:rPr>
                <w:rFonts w:asciiTheme="minorHAnsi" w:hAnsiTheme="minorHAnsi" w:cs="Arial"/>
                <w:b/>
                <w:sz w:val="20"/>
                <w:szCs w:val="20"/>
              </w:rPr>
              <w:t>Informovanie verejnosti a zabezpečenie publicity a podpory žiadateľov/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FC0165">
              <w:rPr>
                <w:rFonts w:asciiTheme="minorHAnsi" w:hAnsiTheme="minorHAnsi" w:cs="Arial"/>
                <w:b/>
                <w:sz w:val="20"/>
                <w:szCs w:val="20"/>
              </w:rPr>
              <w:t>prijímateľov</w:t>
            </w:r>
          </w:p>
          <w:p w14:paraId="7601D001" w14:textId="32E0CDFA" w:rsidR="007F0F34" w:rsidRPr="00FC0165" w:rsidRDefault="007F0F34" w:rsidP="00A7126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76" w:type="dxa"/>
            <w:vAlign w:val="center"/>
          </w:tcPr>
          <w:p w14:paraId="3E95AEEC" w14:textId="5CBCFA8A" w:rsidR="007F0F34" w:rsidRPr="00774EED" w:rsidRDefault="007F0F34" w:rsidP="003062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2264">
              <w:rPr>
                <w:rFonts w:asciiTheme="minorHAnsi" w:hAnsiTheme="minorHAnsi" w:cstheme="minorHAnsi"/>
                <w:sz w:val="20"/>
                <w:szCs w:val="20"/>
              </w:rPr>
              <w:t>P0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420</w:t>
            </w:r>
            <w:r w:rsidRPr="00402264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Počet školení/seminárov/odborných poradenstiev pre žiadateľov/prijímateľov/partnerov za účelom posilnenia ich kapacít</w:t>
            </w:r>
          </w:p>
        </w:tc>
        <w:tc>
          <w:tcPr>
            <w:tcW w:w="4395" w:type="dxa"/>
            <w:vAlign w:val="center"/>
          </w:tcPr>
          <w:p w14:paraId="0F64779E" w14:textId="3A9C1482" w:rsidR="007F0F34" w:rsidRPr="00292F02" w:rsidRDefault="007F0F34" w:rsidP="00F323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 w:rsidRPr="00292F02">
              <w:rPr>
                <w:rFonts w:ascii="Calibri" w:hAnsi="Calibri" w:cs="Calibri"/>
                <w:color w:val="000000"/>
                <w:sz w:val="20"/>
                <w:szCs w:val="20"/>
              </w:rPr>
              <w:t>oč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292F02">
              <w:rPr>
                <w:rFonts w:ascii="Calibri" w:hAnsi="Calibri" w:cs="Calibri"/>
                <w:color w:val="000000"/>
                <w:sz w:val="20"/>
                <w:szCs w:val="20"/>
              </w:rPr>
              <w:t>t školení/seminárov/odborných poradenstiev pre žiadateľov/prijímateľov/partnerov realizovaných z prostriedkov TP za účelom posilnenia ich kapacít v danom roku</w:t>
            </w:r>
            <w:r>
              <w:rPr>
                <w:rStyle w:val="Odkaznapoznmkupodiarou"/>
                <w:rFonts w:ascii="Calibri" w:hAnsi="Calibri"/>
                <w:color w:val="000000"/>
                <w:sz w:val="20"/>
                <w:szCs w:val="20"/>
              </w:rPr>
              <w:footnoteReference w:id="6"/>
            </w:r>
          </w:p>
        </w:tc>
        <w:tc>
          <w:tcPr>
            <w:tcW w:w="1043" w:type="dxa"/>
            <w:vAlign w:val="center"/>
          </w:tcPr>
          <w:p w14:paraId="1C4DA0BF" w14:textId="77777777" w:rsidR="007F0F34" w:rsidRPr="00774EED" w:rsidRDefault="007F0F34" w:rsidP="00E704B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počet</w:t>
            </w:r>
          </w:p>
        </w:tc>
        <w:tc>
          <w:tcPr>
            <w:tcW w:w="1366" w:type="dxa"/>
            <w:vAlign w:val="center"/>
          </w:tcPr>
          <w:p w14:paraId="691C89A3" w14:textId="1267EC77" w:rsidR="007F0F34" w:rsidRPr="00774EED" w:rsidRDefault="007F0F34" w:rsidP="00B808C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74EE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 dátumu ukončenia realizácie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aktivity</w:t>
            </w:r>
          </w:p>
        </w:tc>
        <w:tc>
          <w:tcPr>
            <w:tcW w:w="851" w:type="dxa"/>
            <w:vAlign w:val="center"/>
          </w:tcPr>
          <w:p w14:paraId="06D932A5" w14:textId="3A40C802" w:rsidR="007F0F34" w:rsidRPr="00774EED" w:rsidRDefault="007F0F34" w:rsidP="00DE10F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nie</w:t>
            </w:r>
          </w:p>
        </w:tc>
        <w:tc>
          <w:tcPr>
            <w:tcW w:w="992" w:type="dxa"/>
            <w:vAlign w:val="center"/>
          </w:tcPr>
          <w:p w14:paraId="5578A427" w14:textId="77777777" w:rsidR="007F0F34" w:rsidRPr="00774EED" w:rsidRDefault="007F0F34" w:rsidP="00E704B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74EED">
              <w:rPr>
                <w:rFonts w:asciiTheme="minorHAnsi" w:hAnsiTheme="minorHAnsi" w:cstheme="minorHAnsi"/>
                <w:bCs/>
                <w:sz w:val="20"/>
                <w:szCs w:val="20"/>
              </w:rPr>
              <w:t>áno</w:t>
            </w:r>
          </w:p>
        </w:tc>
      </w:tr>
      <w:tr w:rsidR="007F0F34" w:rsidRPr="00774EED" w14:paraId="38B694BE" w14:textId="77777777" w:rsidTr="00290F7E">
        <w:trPr>
          <w:trHeight w:val="488"/>
        </w:trPr>
        <w:tc>
          <w:tcPr>
            <w:tcW w:w="2127" w:type="dxa"/>
            <w:vMerge/>
            <w:shd w:val="clear" w:color="auto" w:fill="F89C57"/>
            <w:vAlign w:val="center"/>
          </w:tcPr>
          <w:p w14:paraId="43E4C04C" w14:textId="3939F2F3" w:rsidR="007F0F34" w:rsidRPr="00774EED" w:rsidRDefault="007F0F34" w:rsidP="00A71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39B20B29" w14:textId="03D37512" w:rsidR="007F0F34" w:rsidRPr="00774EED" w:rsidRDefault="007F0F34" w:rsidP="008B5BF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4EED">
              <w:rPr>
                <w:rFonts w:asciiTheme="minorHAnsi" w:hAnsiTheme="minorHAnsi" w:cstheme="minorHAnsi"/>
                <w:sz w:val="20"/>
                <w:szCs w:val="20"/>
              </w:rPr>
              <w:t>P0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589</w:t>
            </w:r>
            <w:r w:rsidRPr="00774EED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Počet zrealizovaných informačných aktivít</w:t>
            </w:r>
          </w:p>
        </w:tc>
        <w:tc>
          <w:tcPr>
            <w:tcW w:w="4395" w:type="dxa"/>
            <w:vAlign w:val="center"/>
          </w:tcPr>
          <w:p w14:paraId="7E62FEC7" w14:textId="3DD863C6" w:rsidR="007F0F34" w:rsidRPr="00292F02" w:rsidRDefault="007F0F34" w:rsidP="00A841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2F02">
              <w:rPr>
                <w:rFonts w:ascii="Calibri" w:hAnsi="Calibri" w:cs="Calibri"/>
                <w:color w:val="000000"/>
                <w:sz w:val="20"/>
                <w:szCs w:val="20"/>
              </w:rPr>
              <w:t>Celkový počet informačných aktivít zrealizovan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ých prostredníctvom projektov. </w:t>
            </w:r>
            <w:r w:rsidRPr="00292F02">
              <w:rPr>
                <w:rFonts w:ascii="Calibri" w:hAnsi="Calibri" w:cs="Calibri"/>
                <w:color w:val="000000"/>
                <w:sz w:val="20"/>
                <w:szCs w:val="20"/>
              </w:rPr>
              <w:t>Informačnou aktivitou sa rozumie najmä: konferencia, školenie, seminár, workshop, infodeň, veľtrh, výstava, TV/rozhlasový spot, inzercia na internete, inzercia v tlači, publikácia, webstránka, prieskum verejnej mienky a iné aktivity zamerané 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 informovanie cieľových skupín</w:t>
            </w:r>
            <w:r>
              <w:rPr>
                <w:rStyle w:val="Odkaznapoznmkupodiarou"/>
                <w:rFonts w:ascii="Calibri" w:hAnsi="Calibri"/>
                <w:color w:val="000000"/>
                <w:sz w:val="20"/>
                <w:szCs w:val="20"/>
              </w:rPr>
              <w:footnoteReference w:id="7"/>
            </w:r>
          </w:p>
        </w:tc>
        <w:tc>
          <w:tcPr>
            <w:tcW w:w="1043" w:type="dxa"/>
            <w:vAlign w:val="center"/>
          </w:tcPr>
          <w:p w14:paraId="36D52529" w14:textId="26A52531" w:rsidR="007F0F34" w:rsidRPr="00774EED" w:rsidRDefault="007F0F34" w:rsidP="00A712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počet</w:t>
            </w:r>
          </w:p>
        </w:tc>
        <w:tc>
          <w:tcPr>
            <w:tcW w:w="1366" w:type="dxa"/>
            <w:vAlign w:val="center"/>
          </w:tcPr>
          <w:p w14:paraId="29FF5BF4" w14:textId="77777777" w:rsidR="007F0F34" w:rsidRPr="00774EED" w:rsidRDefault="007F0F34" w:rsidP="00A712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74EED">
              <w:rPr>
                <w:rFonts w:asciiTheme="minorHAnsi" w:hAnsiTheme="minorHAnsi" w:cstheme="minorHAnsi"/>
                <w:bCs/>
                <w:sz w:val="20"/>
                <w:szCs w:val="20"/>
              </w:rPr>
              <w:t>k dátumu ukončenia realizácie projektu</w:t>
            </w:r>
          </w:p>
        </w:tc>
        <w:tc>
          <w:tcPr>
            <w:tcW w:w="851" w:type="dxa"/>
            <w:vAlign w:val="center"/>
          </w:tcPr>
          <w:p w14:paraId="4477731C" w14:textId="28CADC9A" w:rsidR="007F0F34" w:rsidRPr="00774EED" w:rsidRDefault="007F0F34" w:rsidP="00A712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nie</w:t>
            </w:r>
          </w:p>
        </w:tc>
        <w:tc>
          <w:tcPr>
            <w:tcW w:w="992" w:type="dxa"/>
            <w:vAlign w:val="center"/>
          </w:tcPr>
          <w:p w14:paraId="3587E059" w14:textId="77777777" w:rsidR="007F0F34" w:rsidRPr="00774EED" w:rsidRDefault="007F0F34" w:rsidP="00A712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áno</w:t>
            </w:r>
          </w:p>
        </w:tc>
      </w:tr>
      <w:tr w:rsidR="007F0F34" w:rsidRPr="00774EED" w14:paraId="139D9E78" w14:textId="77777777" w:rsidTr="00290F7E">
        <w:trPr>
          <w:trHeight w:val="488"/>
        </w:trPr>
        <w:tc>
          <w:tcPr>
            <w:tcW w:w="2127" w:type="dxa"/>
            <w:vMerge/>
            <w:shd w:val="clear" w:color="auto" w:fill="F89C57"/>
            <w:vAlign w:val="center"/>
          </w:tcPr>
          <w:p w14:paraId="2DC68260" w14:textId="20673DBC" w:rsidR="007F0F34" w:rsidRPr="00774EED" w:rsidRDefault="007F0F34" w:rsidP="007F0F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338475D1" w14:textId="4FFD39E8" w:rsidR="007F0F34" w:rsidRPr="00774EED" w:rsidRDefault="007F0F34" w:rsidP="007F0F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4EED">
              <w:rPr>
                <w:rFonts w:asciiTheme="minorHAnsi" w:hAnsiTheme="minorHAnsi" w:cstheme="minorHAnsi"/>
                <w:sz w:val="20"/>
                <w:szCs w:val="20"/>
              </w:rPr>
              <w:t>P0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556</w:t>
            </w:r>
            <w:r w:rsidRPr="00774EED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Počet zapojených žiadateľov/prijímateľov/partnerov do vzdelávacích aktivít</w:t>
            </w:r>
          </w:p>
        </w:tc>
        <w:tc>
          <w:tcPr>
            <w:tcW w:w="4395" w:type="dxa"/>
            <w:vAlign w:val="center"/>
          </w:tcPr>
          <w:p w14:paraId="7BA89DB3" w14:textId="25CF61C9" w:rsidR="007F0F34" w:rsidRPr="00292F02" w:rsidRDefault="007F0F34" w:rsidP="007F0F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 w:rsidRPr="00292F02">
              <w:rPr>
                <w:rFonts w:ascii="Calibri" w:hAnsi="Calibri" w:cs="Calibri"/>
                <w:color w:val="000000"/>
                <w:sz w:val="20"/>
                <w:szCs w:val="20"/>
              </w:rPr>
              <w:t>oč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292F02">
              <w:rPr>
                <w:rFonts w:ascii="Calibri" w:hAnsi="Calibri" w:cs="Calibri"/>
                <w:color w:val="000000"/>
                <w:sz w:val="20"/>
                <w:szCs w:val="20"/>
              </w:rPr>
              <w:t>t žiadateľov, prijímateľov alebo partnerov, ktorí sa zúčastnili vzdelávacích aktivít realizovaných z prostriedkov TP v danom roku</w:t>
            </w:r>
            <w:r>
              <w:rPr>
                <w:rStyle w:val="Odkaznapoznmkupodiarou"/>
                <w:rFonts w:ascii="Calibri" w:hAnsi="Calibri"/>
                <w:color w:val="000000"/>
                <w:sz w:val="20"/>
                <w:szCs w:val="20"/>
              </w:rPr>
              <w:footnoteReference w:id="8"/>
            </w:r>
          </w:p>
        </w:tc>
        <w:tc>
          <w:tcPr>
            <w:tcW w:w="1043" w:type="dxa"/>
            <w:vAlign w:val="center"/>
          </w:tcPr>
          <w:p w14:paraId="0EB6E6DF" w14:textId="507B8982" w:rsidR="007F0F34" w:rsidRDefault="007F0F34" w:rsidP="007F0F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počet</w:t>
            </w:r>
          </w:p>
        </w:tc>
        <w:tc>
          <w:tcPr>
            <w:tcW w:w="1366" w:type="dxa"/>
            <w:vAlign w:val="center"/>
          </w:tcPr>
          <w:p w14:paraId="19C3C2D2" w14:textId="2E573318" w:rsidR="007F0F34" w:rsidRPr="00774EED" w:rsidRDefault="007F0F34" w:rsidP="007F0F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97675">
              <w:rPr>
                <w:rFonts w:asciiTheme="minorHAnsi" w:hAnsiTheme="minorHAnsi" w:cstheme="minorHAnsi"/>
                <w:bCs/>
                <w:sz w:val="20"/>
                <w:szCs w:val="20"/>
              </w:rPr>
              <w:t>k dátumu ukončenia realizácie aktivity</w:t>
            </w:r>
          </w:p>
        </w:tc>
        <w:tc>
          <w:tcPr>
            <w:tcW w:w="851" w:type="dxa"/>
            <w:vAlign w:val="center"/>
          </w:tcPr>
          <w:p w14:paraId="0615A28C" w14:textId="624FE4A7" w:rsidR="007F0F34" w:rsidRDefault="007F0F34" w:rsidP="007F0F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nie</w:t>
            </w:r>
          </w:p>
        </w:tc>
        <w:tc>
          <w:tcPr>
            <w:tcW w:w="992" w:type="dxa"/>
            <w:vAlign w:val="center"/>
          </w:tcPr>
          <w:p w14:paraId="07098771" w14:textId="6EEB3280" w:rsidR="007F0F34" w:rsidRDefault="007F0F34" w:rsidP="007F0F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áno</w:t>
            </w:r>
          </w:p>
        </w:tc>
      </w:tr>
    </w:tbl>
    <w:p w14:paraId="709B2A4B" w14:textId="77777777" w:rsidR="00354FF4" w:rsidRPr="00485B22" w:rsidRDefault="00354FF4" w:rsidP="00290F7E">
      <w:pPr>
        <w:tabs>
          <w:tab w:val="left" w:pos="10528"/>
        </w:tabs>
      </w:pPr>
    </w:p>
    <w:sectPr w:rsidR="00354FF4" w:rsidRPr="00485B22" w:rsidSect="000B0A6C">
      <w:headerReference w:type="default" r:id="rId11"/>
      <w:endnotePr>
        <w:numFmt w:val="decimal"/>
      </w:endnote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6CE93" w14:textId="77777777" w:rsidR="00C96EA3" w:rsidRDefault="00C96EA3" w:rsidP="00C15A7A">
      <w:r>
        <w:separator/>
      </w:r>
    </w:p>
  </w:endnote>
  <w:endnote w:type="continuationSeparator" w:id="0">
    <w:p w14:paraId="4D135AF6" w14:textId="77777777" w:rsidR="00C96EA3" w:rsidRDefault="00C96EA3" w:rsidP="00C1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4A79E" w14:textId="77777777" w:rsidR="00C96EA3" w:rsidRDefault="00C96EA3" w:rsidP="00C15A7A">
      <w:r>
        <w:separator/>
      </w:r>
    </w:p>
  </w:footnote>
  <w:footnote w:type="continuationSeparator" w:id="0">
    <w:p w14:paraId="03612A2F" w14:textId="77777777" w:rsidR="00C96EA3" w:rsidRDefault="00C96EA3" w:rsidP="00C15A7A">
      <w:r>
        <w:continuationSeparator/>
      </w:r>
    </w:p>
  </w:footnote>
  <w:footnote w:id="1">
    <w:p w14:paraId="2C3CD95E" w14:textId="2E165375" w:rsidR="00373E95" w:rsidRPr="00802EA2" w:rsidRDefault="00373E95" w:rsidP="004A78E5">
      <w:pPr>
        <w:pStyle w:val="Hlavika"/>
        <w:rPr>
          <w:rFonts w:asciiTheme="minorHAnsi" w:hAnsiTheme="minorHAnsi" w:cstheme="minorHAnsi"/>
          <w:b/>
          <w:sz w:val="18"/>
          <w:szCs w:val="18"/>
        </w:rPr>
      </w:pPr>
      <w:r w:rsidRPr="00373E95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373E95">
        <w:rPr>
          <w:rFonts w:asciiTheme="minorHAnsi" w:hAnsiTheme="minorHAnsi" w:cstheme="minorHAnsi"/>
          <w:sz w:val="18"/>
          <w:szCs w:val="18"/>
        </w:rPr>
        <w:t xml:space="preserve"> </w:t>
      </w:r>
      <w:r w:rsidRPr="00802EA2">
        <w:rPr>
          <w:rFonts w:asciiTheme="minorHAnsi" w:hAnsiTheme="minorHAnsi" w:cstheme="minorHAnsi"/>
          <w:sz w:val="18"/>
          <w:szCs w:val="18"/>
        </w:rPr>
        <w:t>Projektové merateľné ukazovatele sa týkajú len zamestnancov SO pre OP ĽZ</w:t>
      </w:r>
    </w:p>
  </w:footnote>
  <w:footnote w:id="2">
    <w:p w14:paraId="47BF99DD" w14:textId="60D73535" w:rsidR="00B77B85" w:rsidRPr="00802EA2" w:rsidRDefault="00B77B85" w:rsidP="008369E2">
      <w:pPr>
        <w:pStyle w:val="Textpoznmkypodiarou"/>
        <w:jc w:val="both"/>
        <w:rPr>
          <w:rFonts w:asciiTheme="minorHAnsi" w:hAnsiTheme="minorHAnsi" w:cstheme="minorHAnsi"/>
          <w:sz w:val="18"/>
          <w:szCs w:val="18"/>
        </w:rPr>
      </w:pPr>
      <w:r w:rsidRPr="00B77B85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B77B85">
        <w:rPr>
          <w:rFonts w:asciiTheme="minorHAnsi" w:hAnsiTheme="minorHAnsi" w:cstheme="minorHAnsi"/>
          <w:sz w:val="18"/>
          <w:szCs w:val="18"/>
        </w:rPr>
        <w:t xml:space="preserve"> RO OPĽZ požiadalo o zmenu definície PMU P0132. Tabuľka obsahuje nové znenie. </w:t>
      </w:r>
    </w:p>
  </w:footnote>
  <w:footnote w:id="3">
    <w:p w14:paraId="6175FE0F" w14:textId="4F9D5569" w:rsidR="00B77B85" w:rsidRPr="00802EA2" w:rsidRDefault="00B77B85" w:rsidP="007F0F34">
      <w:pPr>
        <w:pStyle w:val="Textpoznmkypodiarou"/>
        <w:ind w:left="142" w:hanging="142"/>
        <w:rPr>
          <w:rFonts w:asciiTheme="minorHAnsi" w:hAnsiTheme="minorHAnsi" w:cstheme="minorHAnsi"/>
          <w:sz w:val="18"/>
          <w:szCs w:val="18"/>
        </w:rPr>
      </w:pPr>
      <w:r w:rsidRPr="00802EA2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802EA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Metóda výpočtu pre SO MV SR vzhľadom na špecifikum refundácie 100% refundovaných pracovníkov a prierezových pracovníkov je stanovená ako podiel súčtu súčinov a hodnoty „7,5“, ktorá predstavuje fixnú hodnotu počtu hodín jedného dňa školenia. Vzorec pre výpočet P0149 pre SO MV SR: </w:t>
      </w:r>
      <w:r w:rsidRPr="00B77B85">
        <w:rPr>
          <w:rFonts w:asciiTheme="minorHAnsi" w:hAnsiTheme="minorHAnsi" w:cstheme="minorHAnsi"/>
          <w:color w:val="FF0000"/>
          <w:sz w:val="18"/>
          <w:szCs w:val="18"/>
        </w:rPr>
        <w:t>(</w:t>
      </w:r>
      <w:r w:rsidRPr="00B77B85">
        <w:rPr>
          <w:rFonts w:asciiTheme="minorHAnsi" w:hAnsiTheme="minorHAnsi" w:cstheme="minorHAnsi"/>
          <w:color w:val="BF8F00" w:themeColor="accent4" w:themeShade="BF"/>
          <w:sz w:val="18"/>
          <w:szCs w:val="18"/>
        </w:rPr>
        <w:t>(počet hodín školenia</w:t>
      </w:r>
      <w:r w:rsidR="006E014A">
        <w:rPr>
          <w:rFonts w:asciiTheme="minorHAnsi" w:hAnsiTheme="minorHAnsi" w:cstheme="minorHAnsi"/>
          <w:color w:val="BF8F00" w:themeColor="accent4" w:themeShade="BF"/>
          <w:sz w:val="18"/>
          <w:szCs w:val="18"/>
        </w:rPr>
        <w:t xml:space="preserve"> podľa programu školenia</w:t>
      </w:r>
      <w:r w:rsidRPr="00B77B85">
        <w:rPr>
          <w:rFonts w:asciiTheme="minorHAnsi" w:hAnsiTheme="minorHAnsi" w:cstheme="minorHAnsi"/>
          <w:color w:val="BF8F00" w:themeColor="accent4" w:themeShade="BF"/>
          <w:sz w:val="18"/>
          <w:szCs w:val="18"/>
        </w:rPr>
        <w:t xml:space="preserve"> * počet 100% refundovaných osôb) </w:t>
      </w:r>
      <w:r>
        <w:rPr>
          <w:rFonts w:asciiTheme="minorHAnsi" w:hAnsiTheme="minorHAnsi" w:cstheme="minorHAnsi"/>
          <w:sz w:val="18"/>
          <w:szCs w:val="18"/>
        </w:rPr>
        <w:t xml:space="preserve">+ </w:t>
      </w:r>
      <w:r w:rsidRPr="00B77B85">
        <w:rPr>
          <w:rFonts w:asciiTheme="minorHAnsi" w:hAnsiTheme="minorHAnsi" w:cstheme="minorHAnsi"/>
          <w:color w:val="538135" w:themeColor="accent6" w:themeShade="BF"/>
          <w:sz w:val="18"/>
          <w:szCs w:val="18"/>
        </w:rPr>
        <w:t>(počet hodín školenia</w:t>
      </w:r>
      <w:r w:rsidR="006E014A">
        <w:rPr>
          <w:rFonts w:asciiTheme="minorHAnsi" w:hAnsiTheme="minorHAnsi" w:cstheme="minorHAnsi"/>
          <w:color w:val="538135" w:themeColor="accent6" w:themeShade="BF"/>
          <w:sz w:val="18"/>
          <w:szCs w:val="18"/>
        </w:rPr>
        <w:t xml:space="preserve"> podľa programu školenia/2</w:t>
      </w:r>
      <w:r w:rsidRPr="00B77B85">
        <w:rPr>
          <w:rFonts w:asciiTheme="minorHAnsi" w:hAnsiTheme="minorHAnsi" w:cstheme="minorHAnsi"/>
          <w:color w:val="538135" w:themeColor="accent6" w:themeShade="BF"/>
          <w:sz w:val="18"/>
          <w:szCs w:val="18"/>
        </w:rPr>
        <w:t xml:space="preserve"> * počet 50% refundovaných osôb)</w:t>
      </w:r>
      <w:r>
        <w:rPr>
          <w:rFonts w:asciiTheme="minorHAnsi" w:hAnsiTheme="minorHAnsi" w:cstheme="minorHAnsi"/>
          <w:sz w:val="18"/>
          <w:szCs w:val="18"/>
        </w:rPr>
        <w:t xml:space="preserve"> + </w:t>
      </w:r>
      <w:r w:rsidRPr="00B77B85">
        <w:rPr>
          <w:rFonts w:asciiTheme="minorHAnsi" w:hAnsiTheme="minorHAnsi" w:cstheme="minorHAnsi"/>
          <w:color w:val="2E74B5" w:themeColor="accent1" w:themeShade="BF"/>
          <w:sz w:val="18"/>
          <w:szCs w:val="18"/>
        </w:rPr>
        <w:t>(počet hodín školenia</w:t>
      </w:r>
      <w:r w:rsidR="006E014A">
        <w:rPr>
          <w:rFonts w:asciiTheme="minorHAnsi" w:hAnsiTheme="minorHAnsi" w:cstheme="minorHAnsi"/>
          <w:color w:val="2E74B5" w:themeColor="accent1" w:themeShade="BF"/>
          <w:sz w:val="18"/>
          <w:szCs w:val="18"/>
        </w:rPr>
        <w:t xml:space="preserve"> podľa programu školenia/3</w:t>
      </w:r>
      <w:r w:rsidRPr="00B77B85">
        <w:rPr>
          <w:rFonts w:asciiTheme="minorHAnsi" w:hAnsiTheme="minorHAnsi" w:cstheme="minorHAnsi"/>
          <w:color w:val="2E74B5" w:themeColor="accent1" w:themeShade="BF"/>
          <w:sz w:val="18"/>
          <w:szCs w:val="18"/>
        </w:rPr>
        <w:t xml:space="preserve"> * počet 1/3 refundovaných osôb)</w:t>
      </w:r>
      <w:r w:rsidRPr="00B77B85">
        <w:rPr>
          <w:rFonts w:asciiTheme="minorHAnsi" w:hAnsiTheme="minorHAnsi" w:cstheme="minorHAnsi"/>
          <w:color w:val="FF0000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/ 7,5</w:t>
      </w:r>
      <w:r w:rsidR="0057252C">
        <w:rPr>
          <w:rFonts w:asciiTheme="minorHAnsi" w:hAnsiTheme="minorHAnsi" w:cstheme="minorHAnsi"/>
          <w:sz w:val="18"/>
          <w:szCs w:val="18"/>
        </w:rPr>
        <w:t>. Do hodnoty sa započítavajú iba dni školení refundovaných z OP ĽZ.</w:t>
      </w:r>
    </w:p>
  </w:footnote>
  <w:footnote w:id="4">
    <w:p w14:paraId="1DD49F36" w14:textId="481EAFFB" w:rsidR="00B77B85" w:rsidRPr="0057252C" w:rsidRDefault="00B77B85">
      <w:pPr>
        <w:pStyle w:val="Textpoznmkypodiarou"/>
        <w:rPr>
          <w:rFonts w:asciiTheme="minorHAnsi" w:hAnsiTheme="minorHAnsi" w:cstheme="minorHAnsi"/>
          <w:sz w:val="18"/>
          <w:szCs w:val="18"/>
        </w:rPr>
      </w:pPr>
      <w:r w:rsidRPr="0057252C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57252C">
        <w:rPr>
          <w:rFonts w:asciiTheme="minorHAnsi" w:hAnsiTheme="minorHAnsi" w:cstheme="minorHAnsi"/>
          <w:sz w:val="18"/>
          <w:szCs w:val="18"/>
        </w:rPr>
        <w:t xml:space="preserve"> </w:t>
      </w:r>
      <w:r w:rsidR="0057252C" w:rsidRPr="0057252C">
        <w:rPr>
          <w:rFonts w:asciiTheme="minorHAnsi" w:hAnsiTheme="minorHAnsi" w:cstheme="minorHAnsi"/>
          <w:sz w:val="18"/>
          <w:szCs w:val="18"/>
        </w:rPr>
        <w:t>Do hodnoty sa započítava každá osoba iba raz a to v čase prvotnej účasti na školení v danom roku</w:t>
      </w:r>
      <w:r w:rsidR="0057252C">
        <w:rPr>
          <w:rFonts w:asciiTheme="minorHAnsi" w:hAnsiTheme="minorHAnsi" w:cstheme="minorHAnsi"/>
          <w:sz w:val="18"/>
          <w:szCs w:val="18"/>
        </w:rPr>
        <w:t xml:space="preserve"> refundovaných </w:t>
      </w:r>
      <w:r w:rsidR="0057252C" w:rsidRPr="0057252C">
        <w:rPr>
          <w:rFonts w:asciiTheme="minorHAnsi" w:hAnsiTheme="minorHAnsi" w:cstheme="minorHAnsi"/>
          <w:sz w:val="18"/>
          <w:szCs w:val="18"/>
        </w:rPr>
        <w:t>z OP ĽZ</w:t>
      </w:r>
    </w:p>
  </w:footnote>
  <w:footnote w:id="5">
    <w:p w14:paraId="5279D84C" w14:textId="434F2DD0" w:rsidR="0057252C" w:rsidRPr="006E014A" w:rsidRDefault="0057252C" w:rsidP="007F0F34">
      <w:pPr>
        <w:pStyle w:val="Textpoznmkypodiarou"/>
        <w:ind w:left="142" w:hanging="142"/>
        <w:rPr>
          <w:rFonts w:asciiTheme="minorHAnsi" w:hAnsiTheme="minorHAnsi" w:cstheme="minorHAnsi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="006E014A">
        <w:rPr>
          <w:rFonts w:asciiTheme="minorHAnsi" w:hAnsiTheme="minorHAnsi" w:cstheme="minorHAnsi"/>
          <w:sz w:val="18"/>
          <w:szCs w:val="18"/>
        </w:rPr>
        <w:t xml:space="preserve">Metóda výpočtu pre SO MV SR vzhľadom na špecifikum refundácie 100% refundovaných </w:t>
      </w:r>
      <w:r w:rsidR="006E014A" w:rsidRPr="00353365">
        <w:rPr>
          <w:rFonts w:asciiTheme="minorHAnsi" w:hAnsiTheme="minorHAnsi" w:cstheme="minorHAnsi"/>
          <w:sz w:val="18"/>
          <w:szCs w:val="18"/>
        </w:rPr>
        <w:t>pracovníkov a prierezových pracovníkov je stanovená ako s</w:t>
      </w:r>
      <w:r w:rsidRPr="00353365">
        <w:rPr>
          <w:rFonts w:asciiTheme="minorHAnsi" w:hAnsiTheme="minorHAnsi" w:cstheme="minorHAnsi"/>
          <w:sz w:val="18"/>
          <w:szCs w:val="18"/>
        </w:rPr>
        <w:t>účet súčinov</w:t>
      </w:r>
      <w:r w:rsidR="006E014A">
        <w:t xml:space="preserve">. </w:t>
      </w:r>
      <w:r w:rsidR="006E014A" w:rsidRPr="006E014A">
        <w:rPr>
          <w:rFonts w:asciiTheme="minorHAnsi" w:hAnsiTheme="minorHAnsi" w:cstheme="minorHAnsi"/>
          <w:sz w:val="18"/>
          <w:szCs w:val="18"/>
        </w:rPr>
        <w:t>Vzorec pre výpočet P0534 pre SO MV SR</w:t>
      </w:r>
      <w:r w:rsidR="006E014A">
        <w:rPr>
          <w:rFonts w:asciiTheme="minorHAnsi" w:hAnsiTheme="minorHAnsi" w:cstheme="minorHAnsi"/>
          <w:sz w:val="18"/>
          <w:szCs w:val="18"/>
        </w:rPr>
        <w:t xml:space="preserve">: </w:t>
      </w:r>
      <w:r w:rsidR="006E014A" w:rsidRPr="00353365">
        <w:rPr>
          <w:rFonts w:asciiTheme="minorHAnsi" w:hAnsiTheme="minorHAnsi" w:cstheme="minorHAnsi"/>
          <w:color w:val="BF8F00" w:themeColor="accent4" w:themeShade="BF"/>
          <w:sz w:val="18"/>
          <w:szCs w:val="18"/>
        </w:rPr>
        <w:t>(</w:t>
      </w:r>
      <w:r w:rsidR="00E6171D" w:rsidRPr="00353365">
        <w:rPr>
          <w:rFonts w:asciiTheme="minorHAnsi" w:hAnsiTheme="minorHAnsi" w:cstheme="minorHAnsi"/>
          <w:color w:val="BF8F00" w:themeColor="accent4" w:themeShade="BF"/>
          <w:sz w:val="18"/>
          <w:szCs w:val="18"/>
        </w:rPr>
        <w:t>počet hodín podľa programu * počet 100% refundovaných osôb)</w:t>
      </w:r>
      <w:r w:rsidR="00E6171D">
        <w:rPr>
          <w:rFonts w:asciiTheme="minorHAnsi" w:hAnsiTheme="minorHAnsi" w:cstheme="minorHAnsi"/>
          <w:sz w:val="18"/>
          <w:szCs w:val="18"/>
        </w:rPr>
        <w:t xml:space="preserve"> + </w:t>
      </w:r>
      <w:r w:rsidR="00353365" w:rsidRPr="00353365">
        <w:rPr>
          <w:rFonts w:asciiTheme="minorHAnsi" w:hAnsiTheme="minorHAnsi" w:cstheme="minorHAnsi"/>
          <w:color w:val="FF0000"/>
          <w:sz w:val="18"/>
          <w:szCs w:val="18"/>
        </w:rPr>
        <w:t>(</w:t>
      </w:r>
      <w:r w:rsidR="00353365" w:rsidRPr="00353365">
        <w:rPr>
          <w:rFonts w:asciiTheme="minorHAnsi" w:hAnsiTheme="minorHAnsi" w:cstheme="minorHAnsi"/>
          <w:color w:val="538135" w:themeColor="accent6" w:themeShade="BF"/>
          <w:sz w:val="18"/>
          <w:szCs w:val="18"/>
        </w:rPr>
        <w:t>(počet hodín podľa programu * počet 50% refundovaných osôb</w:t>
      </w:r>
      <w:r w:rsidR="00353365" w:rsidRPr="00353365">
        <w:rPr>
          <w:rFonts w:asciiTheme="minorHAnsi" w:hAnsiTheme="minorHAnsi" w:cstheme="minorHAnsi"/>
          <w:color w:val="FF0000"/>
          <w:sz w:val="18"/>
          <w:szCs w:val="18"/>
        </w:rPr>
        <w:t xml:space="preserve">)/2) </w:t>
      </w:r>
      <w:r w:rsidR="00353365">
        <w:rPr>
          <w:rFonts w:asciiTheme="minorHAnsi" w:hAnsiTheme="minorHAnsi" w:cstheme="minorHAnsi"/>
          <w:sz w:val="18"/>
          <w:szCs w:val="18"/>
        </w:rPr>
        <w:t xml:space="preserve">+ </w:t>
      </w:r>
      <w:r w:rsidR="00353365" w:rsidRPr="00353365">
        <w:rPr>
          <w:rFonts w:asciiTheme="minorHAnsi" w:hAnsiTheme="minorHAnsi" w:cstheme="minorHAnsi"/>
          <w:color w:val="FF0000"/>
          <w:sz w:val="18"/>
          <w:szCs w:val="18"/>
        </w:rPr>
        <w:t>(</w:t>
      </w:r>
      <w:r w:rsidR="00353365" w:rsidRPr="00353365">
        <w:rPr>
          <w:rFonts w:asciiTheme="minorHAnsi" w:hAnsiTheme="minorHAnsi" w:cstheme="minorHAnsi"/>
          <w:color w:val="2E74B5" w:themeColor="accent1" w:themeShade="BF"/>
          <w:sz w:val="18"/>
          <w:szCs w:val="18"/>
        </w:rPr>
        <w:t>(počet hodín podľa programu * počet 1/3 refundovaných osôb)</w:t>
      </w:r>
      <w:r w:rsidR="00353365" w:rsidRPr="00353365">
        <w:rPr>
          <w:rFonts w:asciiTheme="minorHAnsi" w:hAnsiTheme="minorHAnsi" w:cstheme="minorHAnsi"/>
          <w:color w:val="FF0000"/>
          <w:sz w:val="18"/>
          <w:szCs w:val="18"/>
        </w:rPr>
        <w:t>/3)</w:t>
      </w:r>
    </w:p>
  </w:footnote>
  <w:footnote w:id="6">
    <w:p w14:paraId="26C93A7F" w14:textId="3C1FEDED" w:rsidR="007F0F34" w:rsidRPr="00A84114" w:rsidRDefault="007F0F34" w:rsidP="007F0F34">
      <w:pPr>
        <w:pStyle w:val="Textpoznmkypodiarou"/>
        <w:ind w:left="142" w:hanging="142"/>
        <w:rPr>
          <w:rFonts w:asciiTheme="minorHAnsi" w:hAnsiTheme="minorHAnsi" w:cstheme="minorHAnsi"/>
          <w:sz w:val="18"/>
          <w:szCs w:val="18"/>
        </w:rPr>
      </w:pPr>
      <w:r w:rsidRPr="00A84114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A8411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Metóda výpočtu P0420 pre SO MV SR je stanovená ako súčet podielov vzhľadom na špecifikum, že SO je súčasťou sekcie s tromi operačnými programami a je možné, že niektoré školenia pre žiadateľov budú realizované spoločne. Spoločne realizované školenia budú spoločne financované zo všetkých zúčastnených operačných programov a to rovnakým pomerným dielom. Rovnako hodnota vstupujúca do ukazovateľa bude podelená rovnakým dielom medzi zúčastnené  operačné programy. Vzorec pre výpočet P0420 pre SO MV SR: A + B + C.  </w:t>
      </w:r>
      <w:r w:rsidRPr="00354FF4">
        <w:rPr>
          <w:rFonts w:asciiTheme="minorHAnsi" w:hAnsiTheme="minorHAnsi" w:cstheme="minorHAnsi"/>
          <w:color w:val="2E74B5" w:themeColor="accent1" w:themeShade="BF"/>
          <w:sz w:val="18"/>
          <w:szCs w:val="18"/>
        </w:rPr>
        <w:t xml:space="preserve">Hodnota A – </w:t>
      </w:r>
      <w:r>
        <w:rPr>
          <w:rFonts w:asciiTheme="minorHAnsi" w:hAnsiTheme="minorHAnsi" w:cstheme="minorHAnsi"/>
          <w:color w:val="2E74B5" w:themeColor="accent1" w:themeShade="BF"/>
          <w:sz w:val="18"/>
          <w:szCs w:val="18"/>
        </w:rPr>
        <w:t>počet školení</w:t>
      </w:r>
      <w:r w:rsidRPr="00354FF4">
        <w:rPr>
          <w:rFonts w:asciiTheme="minorHAnsi" w:hAnsiTheme="minorHAnsi" w:cstheme="minorHAnsi"/>
          <w:color w:val="2E74B5" w:themeColor="accent1" w:themeShade="BF"/>
          <w:sz w:val="18"/>
          <w:szCs w:val="18"/>
        </w:rPr>
        <w:t xml:space="preserve"> realizovaných iba z jedného operačného programu: A=</w:t>
      </w:r>
      <w:r>
        <w:rPr>
          <w:rFonts w:asciiTheme="minorHAnsi" w:hAnsiTheme="minorHAnsi" w:cstheme="minorHAnsi"/>
          <w:color w:val="2E74B5" w:themeColor="accent1" w:themeShade="BF"/>
          <w:sz w:val="18"/>
          <w:szCs w:val="18"/>
        </w:rPr>
        <w:t>počet školení</w:t>
      </w:r>
      <w:r w:rsidRPr="00354FF4">
        <w:rPr>
          <w:rFonts w:asciiTheme="minorHAnsi" w:hAnsiTheme="minorHAnsi" w:cstheme="minorHAnsi"/>
          <w:color w:val="2E74B5" w:themeColor="accent1" w:themeShade="BF"/>
          <w:sz w:val="18"/>
          <w:szCs w:val="18"/>
        </w:rPr>
        <w:t>/1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  <w:r w:rsidRPr="00354FF4">
        <w:rPr>
          <w:rFonts w:asciiTheme="minorHAnsi" w:hAnsiTheme="minorHAnsi" w:cstheme="minorHAnsi"/>
          <w:color w:val="BF8F00" w:themeColor="accent4" w:themeShade="BF"/>
          <w:sz w:val="18"/>
          <w:szCs w:val="18"/>
        </w:rPr>
        <w:t xml:space="preserve">Hodnota B  - </w:t>
      </w:r>
      <w:r>
        <w:rPr>
          <w:rFonts w:asciiTheme="minorHAnsi" w:hAnsiTheme="minorHAnsi" w:cstheme="minorHAnsi"/>
          <w:color w:val="BF8F00" w:themeColor="accent4" w:themeShade="BF"/>
          <w:sz w:val="18"/>
          <w:szCs w:val="18"/>
        </w:rPr>
        <w:t>počet</w:t>
      </w:r>
      <w:r w:rsidRPr="00354FF4">
        <w:rPr>
          <w:rFonts w:asciiTheme="minorHAnsi" w:hAnsiTheme="minorHAnsi" w:cstheme="minorHAnsi"/>
          <w:color w:val="BF8F00" w:themeColor="accent4" w:themeShade="BF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BF8F00" w:themeColor="accent4" w:themeShade="BF"/>
          <w:sz w:val="18"/>
          <w:szCs w:val="18"/>
        </w:rPr>
        <w:t>školení</w:t>
      </w:r>
      <w:r w:rsidRPr="00354FF4">
        <w:rPr>
          <w:rFonts w:asciiTheme="minorHAnsi" w:hAnsiTheme="minorHAnsi" w:cstheme="minorHAnsi"/>
          <w:color w:val="BF8F00" w:themeColor="accent4" w:themeShade="BF"/>
          <w:sz w:val="18"/>
          <w:szCs w:val="18"/>
        </w:rPr>
        <w:t xml:space="preserve"> realizovaných z dvoch operačných programov: B=počet </w:t>
      </w:r>
      <w:r>
        <w:rPr>
          <w:rFonts w:asciiTheme="minorHAnsi" w:hAnsiTheme="minorHAnsi" w:cstheme="minorHAnsi"/>
          <w:color w:val="BF8F00" w:themeColor="accent4" w:themeShade="BF"/>
          <w:sz w:val="18"/>
          <w:szCs w:val="18"/>
        </w:rPr>
        <w:t>školení</w:t>
      </w:r>
      <w:r w:rsidRPr="00354FF4">
        <w:rPr>
          <w:rFonts w:asciiTheme="minorHAnsi" w:hAnsiTheme="minorHAnsi" w:cstheme="minorHAnsi"/>
          <w:color w:val="BF8F00" w:themeColor="accent4" w:themeShade="BF"/>
          <w:sz w:val="18"/>
          <w:szCs w:val="18"/>
        </w:rPr>
        <w:t>/2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  <w:r w:rsidRPr="00354FF4">
        <w:rPr>
          <w:rFonts w:asciiTheme="minorHAnsi" w:hAnsiTheme="minorHAnsi" w:cstheme="minorHAnsi"/>
          <w:color w:val="538135" w:themeColor="accent6" w:themeShade="BF"/>
          <w:sz w:val="18"/>
          <w:szCs w:val="18"/>
        </w:rPr>
        <w:t xml:space="preserve">Hodnota C – </w:t>
      </w:r>
      <w:r>
        <w:rPr>
          <w:rFonts w:asciiTheme="minorHAnsi" w:hAnsiTheme="minorHAnsi" w:cstheme="minorHAnsi"/>
          <w:color w:val="538135" w:themeColor="accent6" w:themeShade="BF"/>
          <w:sz w:val="18"/>
          <w:szCs w:val="18"/>
        </w:rPr>
        <w:t>počet</w:t>
      </w:r>
      <w:r w:rsidRPr="00354FF4">
        <w:rPr>
          <w:rFonts w:asciiTheme="minorHAnsi" w:hAnsiTheme="minorHAnsi" w:cstheme="minorHAnsi"/>
          <w:color w:val="538135" w:themeColor="accent6" w:themeShade="BF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538135" w:themeColor="accent6" w:themeShade="BF"/>
          <w:sz w:val="18"/>
          <w:szCs w:val="18"/>
        </w:rPr>
        <w:t>školení</w:t>
      </w:r>
      <w:r w:rsidRPr="00354FF4">
        <w:rPr>
          <w:rFonts w:asciiTheme="minorHAnsi" w:hAnsiTheme="minorHAnsi" w:cstheme="minorHAnsi"/>
          <w:color w:val="538135" w:themeColor="accent6" w:themeShade="BF"/>
          <w:sz w:val="18"/>
          <w:szCs w:val="18"/>
        </w:rPr>
        <w:t xml:space="preserve"> realizovaných z troch operačných programov: C=</w:t>
      </w:r>
      <w:r>
        <w:rPr>
          <w:rFonts w:asciiTheme="minorHAnsi" w:hAnsiTheme="minorHAnsi" w:cstheme="minorHAnsi"/>
          <w:color w:val="538135" w:themeColor="accent6" w:themeShade="BF"/>
          <w:sz w:val="18"/>
          <w:szCs w:val="18"/>
        </w:rPr>
        <w:t>počet školení</w:t>
      </w:r>
      <w:r w:rsidRPr="00354FF4">
        <w:rPr>
          <w:rFonts w:asciiTheme="minorHAnsi" w:hAnsiTheme="minorHAnsi" w:cstheme="minorHAnsi"/>
          <w:color w:val="538135" w:themeColor="accent6" w:themeShade="BF"/>
          <w:sz w:val="18"/>
          <w:szCs w:val="18"/>
        </w:rPr>
        <w:t>/3.</w:t>
      </w:r>
    </w:p>
  </w:footnote>
  <w:footnote w:id="7">
    <w:p w14:paraId="317889CF" w14:textId="503754F4" w:rsidR="007F0F34" w:rsidRPr="00A84114" w:rsidRDefault="007F0F34" w:rsidP="007F0F34">
      <w:pPr>
        <w:pStyle w:val="Textpoznmkypodiarou"/>
        <w:ind w:left="142" w:hanging="142"/>
        <w:rPr>
          <w:rFonts w:asciiTheme="minorHAnsi" w:hAnsiTheme="minorHAnsi" w:cstheme="minorHAnsi"/>
          <w:sz w:val="18"/>
          <w:szCs w:val="18"/>
        </w:rPr>
      </w:pPr>
      <w:r w:rsidRPr="00A84114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A8411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Metóda výpočtu P0589 pre SO MV SR je stanovená ako súčet podielov vzhľadom na špecifikum, že SO je súčasťou sekcie s tromi operačnými programami a je možné, že niektoré  aktivity na informovanie verejnosti a zabezpečenie publicity budú realizované spoločne. Spoločne realizované aktivity budú spoločne financované zo všetkých zúčastnených operačných programov a to rovnakým pomerným dielom. Rovnako hodnota vstupujúca do ukazovateľa bude podelená rovnakým dielom medzi zúčastnené  operačné programy. Vzorec pre výpočet P0589 pre SO MV SR: A + B + C.  </w:t>
      </w:r>
      <w:r w:rsidRPr="00354FF4">
        <w:rPr>
          <w:rFonts w:asciiTheme="minorHAnsi" w:hAnsiTheme="minorHAnsi" w:cstheme="minorHAnsi"/>
          <w:color w:val="2E74B5" w:themeColor="accent1" w:themeShade="BF"/>
          <w:sz w:val="18"/>
          <w:szCs w:val="18"/>
        </w:rPr>
        <w:t>Hodnota A –</w:t>
      </w:r>
      <w:r>
        <w:rPr>
          <w:rFonts w:asciiTheme="minorHAnsi" w:hAnsiTheme="minorHAnsi" w:cstheme="minorHAnsi"/>
          <w:color w:val="2E74B5" w:themeColor="accent1" w:themeShade="BF"/>
          <w:sz w:val="18"/>
          <w:szCs w:val="18"/>
        </w:rPr>
        <w:t xml:space="preserve"> počet</w:t>
      </w:r>
      <w:r w:rsidRPr="00354FF4">
        <w:rPr>
          <w:rFonts w:asciiTheme="minorHAnsi" w:hAnsiTheme="minorHAnsi" w:cstheme="minorHAnsi"/>
          <w:color w:val="2E74B5" w:themeColor="accent1" w:themeShade="BF"/>
          <w:sz w:val="18"/>
          <w:szCs w:val="18"/>
        </w:rPr>
        <w:t xml:space="preserve"> informačných aktivít realizovaných iba z jedného operačného programu: A=počet informačných aktivít/1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  <w:r w:rsidRPr="00354FF4">
        <w:rPr>
          <w:rFonts w:asciiTheme="minorHAnsi" w:hAnsiTheme="minorHAnsi" w:cstheme="minorHAnsi"/>
          <w:color w:val="BF8F00" w:themeColor="accent4" w:themeShade="BF"/>
          <w:sz w:val="18"/>
          <w:szCs w:val="18"/>
        </w:rPr>
        <w:t xml:space="preserve">Hodnota B </w:t>
      </w:r>
      <w:r>
        <w:rPr>
          <w:rFonts w:asciiTheme="minorHAnsi" w:hAnsiTheme="minorHAnsi" w:cstheme="minorHAnsi"/>
          <w:color w:val="BF8F00" w:themeColor="accent4" w:themeShade="BF"/>
          <w:sz w:val="18"/>
          <w:szCs w:val="18"/>
        </w:rPr>
        <w:t xml:space="preserve"> - počet</w:t>
      </w:r>
      <w:r w:rsidRPr="00354FF4">
        <w:rPr>
          <w:rFonts w:asciiTheme="minorHAnsi" w:hAnsiTheme="minorHAnsi" w:cstheme="minorHAnsi"/>
          <w:color w:val="BF8F00" w:themeColor="accent4" w:themeShade="BF"/>
          <w:sz w:val="18"/>
          <w:szCs w:val="18"/>
        </w:rPr>
        <w:t xml:space="preserve"> informačných aktivít realizovaných z dvoch operačných programov: B=počet informačných aktivít/2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  <w:r w:rsidRPr="00354FF4">
        <w:rPr>
          <w:rFonts w:asciiTheme="minorHAnsi" w:hAnsiTheme="minorHAnsi" w:cstheme="minorHAnsi"/>
          <w:color w:val="538135" w:themeColor="accent6" w:themeShade="BF"/>
          <w:sz w:val="18"/>
          <w:szCs w:val="18"/>
        </w:rPr>
        <w:t>Hodnota C –</w:t>
      </w:r>
      <w:r>
        <w:rPr>
          <w:rFonts w:asciiTheme="minorHAnsi" w:hAnsiTheme="minorHAnsi" w:cstheme="minorHAnsi"/>
          <w:color w:val="538135" w:themeColor="accent6" w:themeShade="BF"/>
          <w:sz w:val="18"/>
          <w:szCs w:val="18"/>
        </w:rPr>
        <w:t xml:space="preserve"> počet</w:t>
      </w:r>
      <w:r w:rsidRPr="00354FF4">
        <w:rPr>
          <w:rFonts w:asciiTheme="minorHAnsi" w:hAnsiTheme="minorHAnsi" w:cstheme="minorHAnsi"/>
          <w:color w:val="538135" w:themeColor="accent6" w:themeShade="BF"/>
          <w:sz w:val="18"/>
          <w:szCs w:val="18"/>
        </w:rPr>
        <w:t xml:space="preserve"> informačných aktivít realizovaných z troch operačných programov: C=počet informačných aktivít/3.</w:t>
      </w:r>
    </w:p>
  </w:footnote>
  <w:footnote w:id="8">
    <w:p w14:paraId="1FE7253A" w14:textId="77777777" w:rsidR="007F0F34" w:rsidRPr="00A84114" w:rsidRDefault="007F0F34" w:rsidP="007F0F34">
      <w:pPr>
        <w:pStyle w:val="Textpoznmkypodiarou"/>
        <w:rPr>
          <w:rFonts w:asciiTheme="minorHAnsi" w:hAnsiTheme="minorHAnsi" w:cstheme="minorHAnsi"/>
          <w:sz w:val="18"/>
          <w:szCs w:val="18"/>
        </w:rPr>
      </w:pPr>
      <w:r w:rsidRPr="00A84114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A8411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Každý žiadateľ sa do hodnoty započítava iba raz a to v čase prvotného vstupu do projektu v danom roku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E1884" w14:textId="1EA46B1A" w:rsidR="00E63580" w:rsidRDefault="00485B22" w:rsidP="007F0F34">
    <w:pPr>
      <w:pStyle w:val="Hlavika"/>
    </w:pPr>
    <w:r w:rsidRPr="002A690B">
      <w:rPr>
        <w:noProof/>
      </w:rPr>
      <w:drawing>
        <wp:anchor distT="0" distB="0" distL="114300" distR="114300" simplePos="0" relativeHeight="251660288" behindDoc="1" locked="0" layoutInCell="1" allowOverlap="1" wp14:anchorId="258511EB" wp14:editId="29ABB722">
          <wp:simplePos x="0" y="0"/>
          <wp:positionH relativeFrom="column">
            <wp:posOffset>1471942</wp:posOffset>
          </wp:positionH>
          <wp:positionV relativeFrom="paragraph">
            <wp:posOffset>-130667</wp:posOffset>
          </wp:positionV>
          <wp:extent cx="5796915" cy="405130"/>
          <wp:effectExtent l="0" t="0" r="0" b="0"/>
          <wp:wrapTight wrapText="bothSides">
            <wp:wrapPolygon edited="0">
              <wp:start x="0" y="0"/>
              <wp:lineTo x="0" y="20313"/>
              <wp:lineTo x="21508" y="20313"/>
              <wp:lineTo x="21508" y="0"/>
              <wp:lineTo x="0" y="0"/>
            </wp:wrapPolygon>
          </wp:wrapTight>
          <wp:docPr id="2" name="Obrázok 2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91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F63D2"/>
    <w:multiLevelType w:val="hybridMultilevel"/>
    <w:tmpl w:val="C780F6E2"/>
    <w:lvl w:ilvl="0" w:tplc="0EEE02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E6F0D"/>
    <w:multiLevelType w:val="hybridMultilevel"/>
    <w:tmpl w:val="610A578E"/>
    <w:lvl w:ilvl="0" w:tplc="F8B2803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7A"/>
    <w:rsid w:val="00005823"/>
    <w:rsid w:val="00006AE6"/>
    <w:rsid w:val="0001333E"/>
    <w:rsid w:val="0001453A"/>
    <w:rsid w:val="00030860"/>
    <w:rsid w:val="00033AEF"/>
    <w:rsid w:val="0005077A"/>
    <w:rsid w:val="00084301"/>
    <w:rsid w:val="000B0A6C"/>
    <w:rsid w:val="000B493A"/>
    <w:rsid w:val="000D17DB"/>
    <w:rsid w:val="000E7537"/>
    <w:rsid w:val="000F10DD"/>
    <w:rsid w:val="000F19D6"/>
    <w:rsid w:val="000F596B"/>
    <w:rsid w:val="00111A14"/>
    <w:rsid w:val="00144F8D"/>
    <w:rsid w:val="00160481"/>
    <w:rsid w:val="00177C11"/>
    <w:rsid w:val="00193C59"/>
    <w:rsid w:val="001B26C4"/>
    <w:rsid w:val="001B5D3E"/>
    <w:rsid w:val="001C21DD"/>
    <w:rsid w:val="001E5427"/>
    <w:rsid w:val="001E7661"/>
    <w:rsid w:val="001F44C3"/>
    <w:rsid w:val="0021463C"/>
    <w:rsid w:val="00220524"/>
    <w:rsid w:val="002208B8"/>
    <w:rsid w:val="00246060"/>
    <w:rsid w:val="0026290A"/>
    <w:rsid w:val="00266C31"/>
    <w:rsid w:val="00290F7E"/>
    <w:rsid w:val="00292F02"/>
    <w:rsid w:val="00296E08"/>
    <w:rsid w:val="002D3906"/>
    <w:rsid w:val="002E08C3"/>
    <w:rsid w:val="002E5C7E"/>
    <w:rsid w:val="00306265"/>
    <w:rsid w:val="00326EA2"/>
    <w:rsid w:val="00330279"/>
    <w:rsid w:val="00350E73"/>
    <w:rsid w:val="00353365"/>
    <w:rsid w:val="00354FF4"/>
    <w:rsid w:val="00365DFD"/>
    <w:rsid w:val="00371A7A"/>
    <w:rsid w:val="00373E95"/>
    <w:rsid w:val="00390615"/>
    <w:rsid w:val="003B63BA"/>
    <w:rsid w:val="003C7D2F"/>
    <w:rsid w:val="003D23D6"/>
    <w:rsid w:val="003D5760"/>
    <w:rsid w:val="003D77E5"/>
    <w:rsid w:val="00402264"/>
    <w:rsid w:val="0040724E"/>
    <w:rsid w:val="0042242D"/>
    <w:rsid w:val="00425E6C"/>
    <w:rsid w:val="00426CB1"/>
    <w:rsid w:val="00434750"/>
    <w:rsid w:val="00435282"/>
    <w:rsid w:val="004408B6"/>
    <w:rsid w:val="00450770"/>
    <w:rsid w:val="004635E2"/>
    <w:rsid w:val="004847AC"/>
    <w:rsid w:val="00485B22"/>
    <w:rsid w:val="0049497A"/>
    <w:rsid w:val="004A1322"/>
    <w:rsid w:val="004A1934"/>
    <w:rsid w:val="004A25BB"/>
    <w:rsid w:val="004A30BD"/>
    <w:rsid w:val="004A78E5"/>
    <w:rsid w:val="004B4573"/>
    <w:rsid w:val="004B5C12"/>
    <w:rsid w:val="004C0991"/>
    <w:rsid w:val="004C1ADC"/>
    <w:rsid w:val="004C47F2"/>
    <w:rsid w:val="004E6584"/>
    <w:rsid w:val="004F6715"/>
    <w:rsid w:val="00502EFA"/>
    <w:rsid w:val="00505CF3"/>
    <w:rsid w:val="00541567"/>
    <w:rsid w:val="005465BF"/>
    <w:rsid w:val="00563B73"/>
    <w:rsid w:val="0057252C"/>
    <w:rsid w:val="00586058"/>
    <w:rsid w:val="00586883"/>
    <w:rsid w:val="005933B0"/>
    <w:rsid w:val="0059386D"/>
    <w:rsid w:val="005A087E"/>
    <w:rsid w:val="005A5BE9"/>
    <w:rsid w:val="005C0AC6"/>
    <w:rsid w:val="005D0FDD"/>
    <w:rsid w:val="005D1102"/>
    <w:rsid w:val="005D241B"/>
    <w:rsid w:val="005D7CFC"/>
    <w:rsid w:val="005E686F"/>
    <w:rsid w:val="005F2D78"/>
    <w:rsid w:val="005F31B9"/>
    <w:rsid w:val="00603AD9"/>
    <w:rsid w:val="00603D26"/>
    <w:rsid w:val="00604568"/>
    <w:rsid w:val="00621ED1"/>
    <w:rsid w:val="00635BC7"/>
    <w:rsid w:val="006465C0"/>
    <w:rsid w:val="00653651"/>
    <w:rsid w:val="006728C4"/>
    <w:rsid w:val="006852E0"/>
    <w:rsid w:val="00687050"/>
    <w:rsid w:val="006B2404"/>
    <w:rsid w:val="006B3495"/>
    <w:rsid w:val="006B5808"/>
    <w:rsid w:val="006D162A"/>
    <w:rsid w:val="006E014A"/>
    <w:rsid w:val="006F26E8"/>
    <w:rsid w:val="006F63B4"/>
    <w:rsid w:val="00703BF6"/>
    <w:rsid w:val="007435CB"/>
    <w:rsid w:val="00761D2C"/>
    <w:rsid w:val="00774E5D"/>
    <w:rsid w:val="00774EED"/>
    <w:rsid w:val="00781067"/>
    <w:rsid w:val="00783354"/>
    <w:rsid w:val="007840CB"/>
    <w:rsid w:val="00786EEB"/>
    <w:rsid w:val="00787ECA"/>
    <w:rsid w:val="007A30E3"/>
    <w:rsid w:val="007A46F9"/>
    <w:rsid w:val="007A5628"/>
    <w:rsid w:val="007B7D75"/>
    <w:rsid w:val="007C061A"/>
    <w:rsid w:val="007C10C8"/>
    <w:rsid w:val="007C4E4E"/>
    <w:rsid w:val="007E5B30"/>
    <w:rsid w:val="007E7FC3"/>
    <w:rsid w:val="007F0F34"/>
    <w:rsid w:val="007F7A94"/>
    <w:rsid w:val="00801992"/>
    <w:rsid w:val="00802EA2"/>
    <w:rsid w:val="00822E42"/>
    <w:rsid w:val="00823B0F"/>
    <w:rsid w:val="00826279"/>
    <w:rsid w:val="008306DB"/>
    <w:rsid w:val="00831235"/>
    <w:rsid w:val="00831E1E"/>
    <w:rsid w:val="008369E2"/>
    <w:rsid w:val="00841F99"/>
    <w:rsid w:val="00853EC3"/>
    <w:rsid w:val="008668CD"/>
    <w:rsid w:val="00870308"/>
    <w:rsid w:val="0087049D"/>
    <w:rsid w:val="0087071F"/>
    <w:rsid w:val="008736B0"/>
    <w:rsid w:val="00877085"/>
    <w:rsid w:val="00895748"/>
    <w:rsid w:val="008B434F"/>
    <w:rsid w:val="008B5BF1"/>
    <w:rsid w:val="008C1404"/>
    <w:rsid w:val="008F0C1F"/>
    <w:rsid w:val="00900FF4"/>
    <w:rsid w:val="00920195"/>
    <w:rsid w:val="00927CA6"/>
    <w:rsid w:val="009366AB"/>
    <w:rsid w:val="00956E60"/>
    <w:rsid w:val="009634DB"/>
    <w:rsid w:val="0096781C"/>
    <w:rsid w:val="00980EED"/>
    <w:rsid w:val="009860F6"/>
    <w:rsid w:val="0099388B"/>
    <w:rsid w:val="00997568"/>
    <w:rsid w:val="009A24F3"/>
    <w:rsid w:val="009B0E87"/>
    <w:rsid w:val="009B6510"/>
    <w:rsid w:val="009B748C"/>
    <w:rsid w:val="009C17B6"/>
    <w:rsid w:val="009C1974"/>
    <w:rsid w:val="009C22FA"/>
    <w:rsid w:val="009D0D90"/>
    <w:rsid w:val="009E4C26"/>
    <w:rsid w:val="009E7E18"/>
    <w:rsid w:val="009F0789"/>
    <w:rsid w:val="009F74C3"/>
    <w:rsid w:val="00A03E4B"/>
    <w:rsid w:val="00A21558"/>
    <w:rsid w:val="00A259D5"/>
    <w:rsid w:val="00A315B4"/>
    <w:rsid w:val="00A43DBC"/>
    <w:rsid w:val="00A574E5"/>
    <w:rsid w:val="00A6456B"/>
    <w:rsid w:val="00A7174A"/>
    <w:rsid w:val="00A76920"/>
    <w:rsid w:val="00A816D4"/>
    <w:rsid w:val="00A84114"/>
    <w:rsid w:val="00A865C8"/>
    <w:rsid w:val="00A9264B"/>
    <w:rsid w:val="00A9684A"/>
    <w:rsid w:val="00AB305E"/>
    <w:rsid w:val="00AC6C01"/>
    <w:rsid w:val="00AE4822"/>
    <w:rsid w:val="00AF0F77"/>
    <w:rsid w:val="00AF249E"/>
    <w:rsid w:val="00B11B58"/>
    <w:rsid w:val="00B17199"/>
    <w:rsid w:val="00B233A2"/>
    <w:rsid w:val="00B23B0C"/>
    <w:rsid w:val="00B3178C"/>
    <w:rsid w:val="00B360AB"/>
    <w:rsid w:val="00B36C03"/>
    <w:rsid w:val="00B41746"/>
    <w:rsid w:val="00B42892"/>
    <w:rsid w:val="00B52EFA"/>
    <w:rsid w:val="00B77B85"/>
    <w:rsid w:val="00B77C38"/>
    <w:rsid w:val="00B808C5"/>
    <w:rsid w:val="00B87993"/>
    <w:rsid w:val="00B97D6E"/>
    <w:rsid w:val="00BA2E8C"/>
    <w:rsid w:val="00BA5373"/>
    <w:rsid w:val="00BB04B4"/>
    <w:rsid w:val="00BB2080"/>
    <w:rsid w:val="00BD4AE8"/>
    <w:rsid w:val="00BE46FE"/>
    <w:rsid w:val="00BE70C6"/>
    <w:rsid w:val="00BF48D5"/>
    <w:rsid w:val="00C01E9E"/>
    <w:rsid w:val="00C05C45"/>
    <w:rsid w:val="00C0689A"/>
    <w:rsid w:val="00C121CA"/>
    <w:rsid w:val="00C15A7A"/>
    <w:rsid w:val="00C33E16"/>
    <w:rsid w:val="00C419E4"/>
    <w:rsid w:val="00C46121"/>
    <w:rsid w:val="00C54362"/>
    <w:rsid w:val="00C57BE8"/>
    <w:rsid w:val="00C7182E"/>
    <w:rsid w:val="00C72350"/>
    <w:rsid w:val="00C75918"/>
    <w:rsid w:val="00C90AF1"/>
    <w:rsid w:val="00C95355"/>
    <w:rsid w:val="00C96EA3"/>
    <w:rsid w:val="00CA5826"/>
    <w:rsid w:val="00CA7A8D"/>
    <w:rsid w:val="00CB4A06"/>
    <w:rsid w:val="00CB5B16"/>
    <w:rsid w:val="00CC0CD4"/>
    <w:rsid w:val="00CC15BE"/>
    <w:rsid w:val="00CC7DA3"/>
    <w:rsid w:val="00CD3265"/>
    <w:rsid w:val="00CE1933"/>
    <w:rsid w:val="00CF5BC5"/>
    <w:rsid w:val="00D01809"/>
    <w:rsid w:val="00D066B0"/>
    <w:rsid w:val="00D37247"/>
    <w:rsid w:val="00D3798D"/>
    <w:rsid w:val="00D74BFA"/>
    <w:rsid w:val="00D92ED3"/>
    <w:rsid w:val="00D94F14"/>
    <w:rsid w:val="00D97675"/>
    <w:rsid w:val="00DB121D"/>
    <w:rsid w:val="00DB16BD"/>
    <w:rsid w:val="00DC3E2B"/>
    <w:rsid w:val="00DC3F9E"/>
    <w:rsid w:val="00DC6B6E"/>
    <w:rsid w:val="00DE10F5"/>
    <w:rsid w:val="00DE2315"/>
    <w:rsid w:val="00DF6C78"/>
    <w:rsid w:val="00E136F5"/>
    <w:rsid w:val="00E13B9B"/>
    <w:rsid w:val="00E20748"/>
    <w:rsid w:val="00E25F50"/>
    <w:rsid w:val="00E34ED1"/>
    <w:rsid w:val="00E35EFC"/>
    <w:rsid w:val="00E5654B"/>
    <w:rsid w:val="00E6171D"/>
    <w:rsid w:val="00E633D5"/>
    <w:rsid w:val="00E63580"/>
    <w:rsid w:val="00E704B5"/>
    <w:rsid w:val="00E70F32"/>
    <w:rsid w:val="00E93BD6"/>
    <w:rsid w:val="00EB0476"/>
    <w:rsid w:val="00EB691E"/>
    <w:rsid w:val="00ED10B5"/>
    <w:rsid w:val="00ED5F1A"/>
    <w:rsid w:val="00EE4765"/>
    <w:rsid w:val="00EE6BE9"/>
    <w:rsid w:val="00EF166F"/>
    <w:rsid w:val="00EF272D"/>
    <w:rsid w:val="00EF739E"/>
    <w:rsid w:val="00F323A8"/>
    <w:rsid w:val="00F4005A"/>
    <w:rsid w:val="00F47952"/>
    <w:rsid w:val="00F51F31"/>
    <w:rsid w:val="00F713FB"/>
    <w:rsid w:val="00F8364E"/>
    <w:rsid w:val="00F836D0"/>
    <w:rsid w:val="00F84AA2"/>
    <w:rsid w:val="00F91170"/>
    <w:rsid w:val="00F91CC9"/>
    <w:rsid w:val="00F91D28"/>
    <w:rsid w:val="00FC0165"/>
    <w:rsid w:val="00FD0F23"/>
    <w:rsid w:val="00FD1AE2"/>
    <w:rsid w:val="00FD68EF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F5FDCF"/>
  <w15:docId w15:val="{FEDB25B9-5E1B-40CA-9E97-05A9A1FC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0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15A7A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15A7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15A7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C15A7A"/>
    <w:rPr>
      <w:rFonts w:cs="Times New Roman"/>
      <w:vertAlign w:val="superscript"/>
    </w:rPr>
  </w:style>
  <w:style w:type="table" w:customStyle="1" w:styleId="Mriekatabuky1">
    <w:name w:val="Mriežka tabuľky1"/>
    <w:basedOn w:val="Normlnatabuka"/>
    <w:next w:val="Mriekatabuky"/>
    <w:uiPriority w:val="59"/>
    <w:rsid w:val="00C1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lny"/>
    <w:link w:val="Odkaznapoznmkupodiarou"/>
    <w:uiPriority w:val="99"/>
    <w:rsid w:val="00C15A7A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  <w:style w:type="table" w:styleId="Mriekatabuky">
    <w:name w:val="Table Grid"/>
    <w:basedOn w:val="Normlnatabuka"/>
    <w:uiPriority w:val="39"/>
    <w:rsid w:val="00C1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C15A7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15A7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A81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35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3580"/>
    <w:rPr>
      <w:rFonts w:ascii="Tahoma" w:eastAsia="Times New Roman" w:hAnsi="Tahoma" w:cs="Tahoma"/>
      <w:sz w:val="16"/>
      <w:szCs w:val="16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635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358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B16BD"/>
    <w:rPr>
      <w:sz w:val="16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03AD9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03AD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603AD9"/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326EA2"/>
    <w:pPr>
      <w:spacing w:before="100" w:beforeAutospacing="1" w:after="100" w:afterAutospacing="1"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E753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E753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E753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E753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B8059-1A90-4AE2-B1CE-C5174F8C75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02A91-761D-4693-BF2A-90E1CA0E5994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62E1A67-44C4-4350-9FEB-8B49324D3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0F433C-6AD4-4B9E-888F-96ADB66D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Róbert Korec</dc:creator>
  <cp:lastModifiedBy>metodika OIMRK</cp:lastModifiedBy>
  <cp:revision>10</cp:revision>
  <cp:lastPrinted>2017-02-10T07:16:00Z</cp:lastPrinted>
  <dcterms:created xsi:type="dcterms:W3CDTF">2017-01-04T13:38:00Z</dcterms:created>
  <dcterms:modified xsi:type="dcterms:W3CDTF">2017-02-10T07:16:00Z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